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91"/>
        <w:gridCol w:w="291"/>
        <w:gridCol w:w="562"/>
        <w:gridCol w:w="555"/>
        <w:gridCol w:w="3487"/>
        <w:gridCol w:w="4608"/>
        <w:gridCol w:w="4961"/>
      </w:tblGrid>
      <w:tr w:rsidR="000829C3" w:rsidRPr="00B546DE" w14:paraId="2C0B87E8" w14:textId="77777777" w:rsidTr="00E81AED">
        <w:tc>
          <w:tcPr>
            <w:tcW w:w="2059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0DA2D4" w14:textId="77777777" w:rsidR="000829C3" w:rsidRPr="0039783E" w:rsidRDefault="000829C3" w:rsidP="000D4A2C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39783E">
              <w:rPr>
                <w:rFonts w:ascii="Californian FB" w:hAnsi="Californian FB"/>
                <w:b/>
                <w:sz w:val="20"/>
                <w:szCs w:val="20"/>
              </w:rPr>
              <w:t>Aspect</w:t>
            </w:r>
          </w:p>
        </w:tc>
        <w:tc>
          <w:tcPr>
            <w:tcW w:w="130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left w:w="29" w:type="dxa"/>
              <w:right w:w="29" w:type="dxa"/>
            </w:tcMar>
          </w:tcPr>
          <w:p w14:paraId="082C7184" w14:textId="77777777" w:rsidR="000829C3" w:rsidRPr="0039783E" w:rsidRDefault="000829C3" w:rsidP="00A536C5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39783E">
              <w:rPr>
                <w:rFonts w:ascii="Californian FB" w:hAnsi="Californian FB"/>
                <w:b/>
                <w:sz w:val="20"/>
                <w:szCs w:val="20"/>
              </w:rPr>
              <w:t>Scoring Options</w:t>
            </w:r>
          </w:p>
        </w:tc>
      </w:tr>
      <w:tr w:rsidR="000829C3" w:rsidRPr="00B546DE" w14:paraId="4A32367F" w14:textId="77777777" w:rsidTr="00E81AED">
        <w:tc>
          <w:tcPr>
            <w:tcW w:w="2059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69968A" w14:textId="77777777" w:rsidR="000829C3" w:rsidRPr="00B546DE" w:rsidRDefault="000829C3" w:rsidP="00620FF4">
            <w:pPr>
              <w:pStyle w:val="NoSpacing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3487" w:type="dxa"/>
            <w:tcBorders>
              <w:left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</w:tcPr>
          <w:p w14:paraId="5AC0FC01" w14:textId="77777777" w:rsidR="000829C3" w:rsidRPr="00B546DE" w:rsidRDefault="000829C3" w:rsidP="00A536C5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B546DE">
              <w:rPr>
                <w:rFonts w:ascii="Californian FB" w:hAnsi="Californian FB"/>
                <w:b/>
                <w:sz w:val="20"/>
                <w:szCs w:val="20"/>
              </w:rPr>
              <w:t>0: Absent</w:t>
            </w:r>
          </w:p>
        </w:tc>
        <w:tc>
          <w:tcPr>
            <w:tcW w:w="4608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</w:tcPr>
          <w:p w14:paraId="3890A454" w14:textId="77777777" w:rsidR="000829C3" w:rsidRPr="00B546DE" w:rsidRDefault="000829C3" w:rsidP="00B616BB">
            <w:pPr>
              <w:tabs>
                <w:tab w:val="left" w:pos="1134"/>
                <w:tab w:val="center" w:pos="2051"/>
              </w:tabs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B546DE">
              <w:rPr>
                <w:rFonts w:ascii="Californian FB" w:hAnsi="Californian FB"/>
                <w:b/>
                <w:sz w:val="20"/>
                <w:szCs w:val="20"/>
              </w:rPr>
              <w:t>1: Needs Improvement</w:t>
            </w:r>
          </w:p>
        </w:tc>
        <w:tc>
          <w:tcPr>
            <w:tcW w:w="4961" w:type="dxa"/>
            <w:tcBorders>
              <w:bottom w:val="single" w:sz="18" w:space="0" w:color="auto"/>
              <w:right w:val="single" w:sz="18" w:space="0" w:color="auto"/>
            </w:tcBorders>
            <w:tcMar>
              <w:left w:w="29" w:type="dxa"/>
              <w:right w:w="29" w:type="dxa"/>
            </w:tcMar>
          </w:tcPr>
          <w:p w14:paraId="1FFD0EEC" w14:textId="77777777" w:rsidR="000829C3" w:rsidRPr="00B546DE" w:rsidRDefault="000829C3" w:rsidP="00A536C5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B546DE">
              <w:rPr>
                <w:rFonts w:ascii="Californian FB" w:hAnsi="Californian FB"/>
                <w:b/>
                <w:sz w:val="20"/>
                <w:szCs w:val="20"/>
              </w:rPr>
              <w:t>2: Meets Expectations</w:t>
            </w:r>
          </w:p>
        </w:tc>
      </w:tr>
      <w:tr w:rsidR="000829C3" w:rsidRPr="00B546DE" w14:paraId="01CA2C17" w14:textId="77777777" w:rsidTr="00E81AED">
        <w:trPr>
          <w:cantSplit/>
          <w:trHeight w:val="899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36179E9" w14:textId="77777777" w:rsidR="000829C3" w:rsidRPr="00FC52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FC52DE">
              <w:rPr>
                <w:rFonts w:ascii="Californian FB" w:hAnsi="Californian FB"/>
                <w:b/>
                <w:sz w:val="20"/>
                <w:szCs w:val="20"/>
              </w:rPr>
              <w:t>I. PART I - REVIEW</w:t>
            </w:r>
          </w:p>
        </w:tc>
        <w:tc>
          <w:tcPr>
            <w:tcW w:w="291" w:type="dxa"/>
            <w:vMerge w:val="restart"/>
            <w:tcBorders>
              <w:top w:val="single" w:sz="18" w:space="0" w:color="auto"/>
            </w:tcBorders>
            <w:tcMar>
              <w:left w:w="29" w:type="dxa"/>
              <w:right w:w="29" w:type="dxa"/>
            </w:tcMar>
            <w:textDirection w:val="btLr"/>
          </w:tcPr>
          <w:p w14:paraId="4D8E95F8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A. Academic Program Review Documentation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8" w:space="0" w:color="auto"/>
            </w:tcBorders>
            <w:tcMar>
              <w:left w:w="29" w:type="dxa"/>
              <w:right w:w="29" w:type="dxa"/>
            </w:tcMar>
            <w:textDirection w:val="btLr"/>
          </w:tcPr>
          <w:p w14:paraId="721C1904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1. Program Description</w:t>
            </w:r>
          </w:p>
        </w:tc>
        <w:tc>
          <w:tcPr>
            <w:tcW w:w="555" w:type="dxa"/>
            <w:tcBorders>
              <w:top w:val="single" w:sz="18" w:space="0" w:color="auto"/>
              <w:right w:val="single" w:sz="18" w:space="0" w:color="auto"/>
            </w:tcBorders>
            <w:tcMar>
              <w:left w:w="29" w:type="dxa"/>
              <w:right w:w="29" w:type="dxa"/>
            </w:tcMar>
            <w:textDirection w:val="btLr"/>
          </w:tcPr>
          <w:p w14:paraId="3AF8AB0F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Mission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C73AFC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Does not define the program’s mission</w:t>
            </w:r>
          </w:p>
        </w:tc>
        <w:tc>
          <w:tcPr>
            <w:tcW w:w="4608" w:type="dxa"/>
            <w:tcBorders>
              <w:top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2EBBE7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Defines the program’s mission but does not link it to the University’s mission or the Strategic Plan</w:t>
            </w:r>
          </w:p>
        </w:tc>
        <w:tc>
          <w:tcPr>
            <w:tcW w:w="4961" w:type="dxa"/>
            <w:tcBorders>
              <w:top w:val="single" w:sz="18" w:space="0" w:color="auto"/>
              <w:righ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EB4530" w14:textId="46FB2BA0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 xml:space="preserve">Defines the program’s mission and demonstrates its relationship with the </w:t>
            </w:r>
            <w:hyperlink r:id="rId9" w:history="1">
              <w:r w:rsidRPr="006E704D">
                <w:rPr>
                  <w:rStyle w:val="Hyperlink"/>
                  <w:rFonts w:ascii="Californian FB" w:hAnsi="Californian FB"/>
                  <w:sz w:val="20"/>
                  <w:szCs w:val="20"/>
                </w:rPr>
                <w:t>University’s mission</w:t>
              </w:r>
            </w:hyperlink>
            <w:r w:rsidRPr="00B546DE">
              <w:rPr>
                <w:rFonts w:ascii="Californian FB" w:hAnsi="Californian FB"/>
                <w:sz w:val="20"/>
                <w:szCs w:val="20"/>
              </w:rPr>
              <w:t xml:space="preserve"> and </w:t>
            </w:r>
            <w:hyperlink r:id="rId10" w:history="1">
              <w:r w:rsidRPr="006E704D">
                <w:rPr>
                  <w:rStyle w:val="Hyperlink"/>
                  <w:rFonts w:ascii="Californian FB" w:hAnsi="Californian FB"/>
                  <w:sz w:val="20"/>
                  <w:szCs w:val="20"/>
                </w:rPr>
                <w:t>Strategic Plan</w:t>
              </w:r>
            </w:hyperlink>
            <w:bookmarkStart w:id="0" w:name="_GoBack"/>
            <w:bookmarkEnd w:id="0"/>
          </w:p>
        </w:tc>
      </w:tr>
      <w:tr w:rsidR="000829C3" w:rsidRPr="00B546DE" w14:paraId="6AE518B2" w14:textId="77777777" w:rsidTr="00E81AED">
        <w:trPr>
          <w:cantSplit/>
          <w:trHeight w:val="1151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14:paraId="440A262D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91" w:type="dxa"/>
            <w:vMerge/>
            <w:tcMar>
              <w:left w:w="29" w:type="dxa"/>
              <w:right w:w="29" w:type="dxa"/>
            </w:tcMar>
          </w:tcPr>
          <w:p w14:paraId="5467728D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Mar>
              <w:left w:w="29" w:type="dxa"/>
              <w:right w:w="29" w:type="dxa"/>
            </w:tcMar>
          </w:tcPr>
          <w:p w14:paraId="1FA272C7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textDirection w:val="btLr"/>
          </w:tcPr>
          <w:p w14:paraId="3619F0D2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</w:rPr>
            </w:pPr>
            <w:r w:rsidRPr="00B546DE">
              <w:rPr>
                <w:rFonts w:ascii="Californian FB" w:hAnsi="Californian FB"/>
                <w:sz w:val="20"/>
              </w:rPr>
              <w:t>Enrollment</w:t>
            </w:r>
          </w:p>
        </w:tc>
        <w:tc>
          <w:tcPr>
            <w:tcW w:w="3487" w:type="dxa"/>
            <w:tcBorders>
              <w:lef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C38686E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No enrollment data are included</w:t>
            </w:r>
          </w:p>
        </w:tc>
        <w:tc>
          <w:tcPr>
            <w:tcW w:w="4608" w:type="dxa"/>
            <w:tcMar>
              <w:left w:w="29" w:type="dxa"/>
              <w:right w:w="29" w:type="dxa"/>
            </w:tcMar>
            <w:vAlign w:val="center"/>
          </w:tcPr>
          <w:p w14:paraId="3B0B0A05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Enrollment data are provided but trends and aspirations are not described</w:t>
            </w:r>
          </w:p>
        </w:tc>
        <w:tc>
          <w:tcPr>
            <w:tcW w:w="4961" w:type="dxa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18C354A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Enrollment data are presented over the past 7 years; trends and aspirations are identified and discussed</w:t>
            </w:r>
          </w:p>
        </w:tc>
      </w:tr>
      <w:tr w:rsidR="000829C3" w:rsidRPr="00B546DE" w14:paraId="39A69434" w14:textId="77777777" w:rsidTr="00E81AED">
        <w:trPr>
          <w:cantSplit/>
          <w:trHeight w:val="890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14:paraId="71F14312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91" w:type="dxa"/>
            <w:vMerge/>
            <w:tcMar>
              <w:left w:w="29" w:type="dxa"/>
              <w:right w:w="29" w:type="dxa"/>
            </w:tcMar>
          </w:tcPr>
          <w:p w14:paraId="4FA704A5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Mar>
              <w:left w:w="29" w:type="dxa"/>
              <w:right w:w="29" w:type="dxa"/>
            </w:tcMar>
            <w:textDirection w:val="btLr"/>
          </w:tcPr>
          <w:p w14:paraId="556A1890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textDirection w:val="btLr"/>
          </w:tcPr>
          <w:p w14:paraId="623D385B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Degrees</w:t>
            </w:r>
          </w:p>
        </w:tc>
        <w:tc>
          <w:tcPr>
            <w:tcW w:w="3487" w:type="dxa"/>
            <w:tcBorders>
              <w:lef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A7F869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No degree data are included</w:t>
            </w:r>
          </w:p>
        </w:tc>
        <w:tc>
          <w:tcPr>
            <w:tcW w:w="4608" w:type="dxa"/>
            <w:tcMar>
              <w:left w:w="29" w:type="dxa"/>
              <w:right w:w="29" w:type="dxa"/>
            </w:tcMar>
            <w:vAlign w:val="center"/>
          </w:tcPr>
          <w:p w14:paraId="03F1CFEE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Degree data are presented but trends are not discussed</w:t>
            </w:r>
          </w:p>
        </w:tc>
        <w:tc>
          <w:tcPr>
            <w:tcW w:w="4961" w:type="dxa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C293A2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Degree data are presented over the past 7 years; trends in degrees granted, time-to-completion and retention are identified and discussed</w:t>
            </w:r>
          </w:p>
        </w:tc>
      </w:tr>
      <w:tr w:rsidR="000829C3" w:rsidRPr="00B546DE" w14:paraId="12B3022C" w14:textId="77777777" w:rsidTr="00E81AED">
        <w:trPr>
          <w:cantSplit/>
          <w:trHeight w:val="800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14:paraId="46906D86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91" w:type="dxa"/>
            <w:vMerge/>
            <w:tcMar>
              <w:left w:w="29" w:type="dxa"/>
              <w:right w:w="29" w:type="dxa"/>
            </w:tcMar>
          </w:tcPr>
          <w:p w14:paraId="2DC69754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tcMar>
              <w:left w:w="29" w:type="dxa"/>
              <w:right w:w="29" w:type="dxa"/>
            </w:tcMar>
            <w:textDirection w:val="btLr"/>
          </w:tcPr>
          <w:p w14:paraId="36A84FB4" w14:textId="77777777" w:rsidR="000829C3" w:rsidRPr="00B546DE" w:rsidRDefault="000829C3" w:rsidP="007B3F7F">
            <w:pPr>
              <w:pStyle w:val="NoSpacing"/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2. Internal Review and Narrative</w:t>
            </w:r>
          </w:p>
          <w:p w14:paraId="72066C3A" w14:textId="77777777" w:rsidR="000829C3" w:rsidRPr="00B546DE" w:rsidRDefault="000829C3" w:rsidP="007B3F7F">
            <w:pPr>
              <w:pStyle w:val="NoSpacing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cMar>
              <w:left w:w="29" w:type="dxa"/>
              <w:right w:w="29" w:type="dxa"/>
            </w:tcMar>
            <w:textDirection w:val="btLr"/>
          </w:tcPr>
          <w:p w14:paraId="7B72E3FA" w14:textId="77777777" w:rsidR="000829C3" w:rsidRPr="00B546DE" w:rsidRDefault="000829C3" w:rsidP="007B3F7F">
            <w:pPr>
              <w:pStyle w:val="NoSpacing"/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a. Summary</w:t>
            </w:r>
          </w:p>
        </w:tc>
        <w:tc>
          <w:tcPr>
            <w:tcW w:w="555" w:type="dxa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textDirection w:val="btLr"/>
          </w:tcPr>
          <w:p w14:paraId="01A0F838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SWAT</w:t>
            </w:r>
          </w:p>
        </w:tc>
        <w:tc>
          <w:tcPr>
            <w:tcW w:w="3487" w:type="dxa"/>
            <w:tcBorders>
              <w:lef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5F1C57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Does not discuss weaknesses identified in previous APR</w:t>
            </w:r>
          </w:p>
        </w:tc>
        <w:tc>
          <w:tcPr>
            <w:tcW w:w="4608" w:type="dxa"/>
            <w:tcMar>
              <w:left w:w="29" w:type="dxa"/>
              <w:right w:w="29" w:type="dxa"/>
            </w:tcMar>
            <w:vAlign w:val="center"/>
          </w:tcPr>
          <w:p w14:paraId="36CEFE96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Weaknesses from previous APR are described, but no progress has been made toward overcoming them</w:t>
            </w:r>
          </w:p>
        </w:tc>
        <w:tc>
          <w:tcPr>
            <w:tcW w:w="4961" w:type="dxa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09A2B0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Describes progress made towards overcoming weaknesses identified in previous APR</w:t>
            </w:r>
          </w:p>
        </w:tc>
      </w:tr>
      <w:tr w:rsidR="000829C3" w:rsidRPr="00B546DE" w14:paraId="2C7EF16F" w14:textId="77777777" w:rsidTr="00E81AED">
        <w:trPr>
          <w:cantSplit/>
          <w:trHeight w:val="989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14:paraId="7867095A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91" w:type="dxa"/>
            <w:vMerge/>
            <w:tcMar>
              <w:left w:w="29" w:type="dxa"/>
              <w:right w:w="29" w:type="dxa"/>
            </w:tcMar>
          </w:tcPr>
          <w:p w14:paraId="23DECAD1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91" w:type="dxa"/>
            <w:vMerge/>
            <w:tcMar>
              <w:left w:w="29" w:type="dxa"/>
              <w:right w:w="29" w:type="dxa"/>
            </w:tcMar>
          </w:tcPr>
          <w:p w14:paraId="351776FD" w14:textId="77777777" w:rsidR="000829C3" w:rsidRPr="00B546DE" w:rsidRDefault="000829C3" w:rsidP="007B3F7F">
            <w:pPr>
              <w:pStyle w:val="NoSpacing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562" w:type="dxa"/>
            <w:vMerge/>
            <w:tcMar>
              <w:left w:w="29" w:type="dxa"/>
              <w:right w:w="29" w:type="dxa"/>
            </w:tcMar>
          </w:tcPr>
          <w:p w14:paraId="603C9130" w14:textId="77777777" w:rsidR="000829C3" w:rsidRPr="00B546DE" w:rsidRDefault="000829C3" w:rsidP="007B3F7F">
            <w:pPr>
              <w:pStyle w:val="NoSpacing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textDirection w:val="btLr"/>
          </w:tcPr>
          <w:p w14:paraId="0E9AD102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Progress</w:t>
            </w:r>
          </w:p>
        </w:tc>
        <w:tc>
          <w:tcPr>
            <w:tcW w:w="3487" w:type="dxa"/>
            <w:tcBorders>
              <w:lef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50E2C9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No narrative regarding the program’s progress during the current 7-year cycle or initiatives planned for the next 7 years</w:t>
            </w:r>
          </w:p>
        </w:tc>
        <w:tc>
          <w:tcPr>
            <w:tcW w:w="4608" w:type="dxa"/>
            <w:tcMar>
              <w:left w:w="29" w:type="dxa"/>
              <w:right w:w="29" w:type="dxa"/>
            </w:tcMar>
            <w:vAlign w:val="center"/>
          </w:tcPr>
          <w:p w14:paraId="0E19278B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Program has discussed progress during past 7 years, but description is vague and lacks direction</w:t>
            </w:r>
          </w:p>
        </w:tc>
        <w:tc>
          <w:tcPr>
            <w:tcW w:w="4961" w:type="dxa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0EAFE6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Reviews previous 7 years including program strengths &amp; weaknesses and provides a vision for next 7 years</w:t>
            </w:r>
          </w:p>
        </w:tc>
      </w:tr>
      <w:tr w:rsidR="000829C3" w:rsidRPr="00B546DE" w14:paraId="5DCA613F" w14:textId="77777777" w:rsidTr="00E81AED">
        <w:trPr>
          <w:cantSplit/>
          <w:trHeight w:val="1160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14:paraId="1D00F1F0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91" w:type="dxa"/>
            <w:vMerge/>
            <w:tcMar>
              <w:left w:w="29" w:type="dxa"/>
              <w:right w:w="29" w:type="dxa"/>
            </w:tcMar>
          </w:tcPr>
          <w:p w14:paraId="484E4A05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91" w:type="dxa"/>
            <w:vMerge/>
            <w:tcMar>
              <w:left w:w="29" w:type="dxa"/>
              <w:right w:w="29" w:type="dxa"/>
            </w:tcMar>
          </w:tcPr>
          <w:p w14:paraId="7E7A86BE" w14:textId="77777777" w:rsidR="000829C3" w:rsidRPr="00B546DE" w:rsidRDefault="000829C3" w:rsidP="007B3F7F">
            <w:pPr>
              <w:pStyle w:val="NoSpacing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cMar>
              <w:left w:w="29" w:type="dxa"/>
              <w:right w:w="29" w:type="dxa"/>
            </w:tcMar>
            <w:textDirection w:val="btLr"/>
          </w:tcPr>
          <w:p w14:paraId="3D901A90" w14:textId="77777777" w:rsidR="000829C3" w:rsidRPr="00B546DE" w:rsidRDefault="000829C3" w:rsidP="007B3F7F">
            <w:pPr>
              <w:pStyle w:val="NoSpacing"/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b. Program Curriculum and Advising</w:t>
            </w:r>
          </w:p>
        </w:tc>
        <w:tc>
          <w:tcPr>
            <w:tcW w:w="555" w:type="dxa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textDirection w:val="btLr"/>
          </w:tcPr>
          <w:p w14:paraId="5C57E3BF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Sequencing</w:t>
            </w:r>
          </w:p>
        </w:tc>
        <w:tc>
          <w:tcPr>
            <w:tcW w:w="3487" w:type="dxa"/>
            <w:tcBorders>
              <w:lef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C903A2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Curriculum sequencing and changes made during the previous 7 years are not discussed; no future directions are presented</w:t>
            </w:r>
          </w:p>
        </w:tc>
        <w:tc>
          <w:tcPr>
            <w:tcW w:w="4608" w:type="dxa"/>
            <w:tcMar>
              <w:left w:w="29" w:type="dxa"/>
              <w:right w:w="29" w:type="dxa"/>
            </w:tcMar>
            <w:vAlign w:val="center"/>
          </w:tcPr>
          <w:p w14:paraId="649D313F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Curriculum sequencing and changes made during the previous 7 years have been indicated but no description of rationale has been provided</w:t>
            </w:r>
          </w:p>
        </w:tc>
        <w:tc>
          <w:tcPr>
            <w:tcW w:w="4961" w:type="dxa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D771E17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Discusses rationale for curriculum sequencing and describes changes made during previous 7 years</w:t>
            </w:r>
          </w:p>
        </w:tc>
      </w:tr>
      <w:tr w:rsidR="000829C3" w:rsidRPr="00B546DE" w14:paraId="06DB0773" w14:textId="77777777" w:rsidTr="00E81AED">
        <w:trPr>
          <w:cantSplit/>
          <w:trHeight w:val="1250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14:paraId="3801A8B2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91" w:type="dxa"/>
            <w:vMerge/>
            <w:tcMar>
              <w:left w:w="29" w:type="dxa"/>
              <w:right w:w="29" w:type="dxa"/>
            </w:tcMar>
          </w:tcPr>
          <w:p w14:paraId="32B18357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91" w:type="dxa"/>
            <w:vMerge/>
            <w:tcMar>
              <w:left w:w="29" w:type="dxa"/>
              <w:right w:w="29" w:type="dxa"/>
            </w:tcMar>
          </w:tcPr>
          <w:p w14:paraId="5F086FCE" w14:textId="77777777" w:rsidR="000829C3" w:rsidRPr="00B546DE" w:rsidRDefault="000829C3" w:rsidP="007B3F7F">
            <w:pPr>
              <w:pStyle w:val="NoSpacing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562" w:type="dxa"/>
            <w:vMerge/>
            <w:tcMar>
              <w:left w:w="29" w:type="dxa"/>
              <w:right w:w="29" w:type="dxa"/>
            </w:tcMar>
          </w:tcPr>
          <w:p w14:paraId="61B60B73" w14:textId="77777777" w:rsidR="000829C3" w:rsidRPr="00B546DE" w:rsidRDefault="000829C3" w:rsidP="007B3F7F">
            <w:pPr>
              <w:pStyle w:val="NoSpacing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textDirection w:val="btLr"/>
          </w:tcPr>
          <w:p w14:paraId="1FE21DE9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Future Direction(s)</w:t>
            </w:r>
          </w:p>
        </w:tc>
        <w:tc>
          <w:tcPr>
            <w:tcW w:w="3487" w:type="dxa"/>
            <w:tcBorders>
              <w:lef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A23309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No future directions are presented</w:t>
            </w:r>
          </w:p>
        </w:tc>
        <w:tc>
          <w:tcPr>
            <w:tcW w:w="4608" w:type="dxa"/>
            <w:tcMar>
              <w:left w:w="29" w:type="dxa"/>
              <w:right w:w="29" w:type="dxa"/>
            </w:tcMar>
            <w:vAlign w:val="center"/>
          </w:tcPr>
          <w:p w14:paraId="298CAD5F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Minor future directions for next cycle are presented</w:t>
            </w:r>
          </w:p>
        </w:tc>
        <w:tc>
          <w:tcPr>
            <w:tcW w:w="4961" w:type="dxa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4E3EBD5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Careful consideration and description of directions for curriculum over the next cycle are described</w:t>
            </w:r>
          </w:p>
        </w:tc>
      </w:tr>
      <w:tr w:rsidR="000829C3" w:rsidRPr="00B546DE" w14:paraId="788B1946" w14:textId="77777777" w:rsidTr="00E81AED">
        <w:trPr>
          <w:cantSplit/>
          <w:trHeight w:val="755"/>
        </w:trPr>
        <w:tc>
          <w:tcPr>
            <w:tcW w:w="360" w:type="dxa"/>
            <w:vMerge/>
            <w:tcBorders>
              <w:left w:val="single" w:sz="18" w:space="0" w:color="auto"/>
            </w:tcBorders>
            <w:textDirection w:val="btLr"/>
          </w:tcPr>
          <w:p w14:paraId="1BB97BAE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91" w:type="dxa"/>
            <w:vMerge/>
            <w:tcMar>
              <w:left w:w="29" w:type="dxa"/>
              <w:right w:w="29" w:type="dxa"/>
            </w:tcMar>
            <w:textDirection w:val="btLr"/>
          </w:tcPr>
          <w:p w14:paraId="35CA7ED4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91" w:type="dxa"/>
            <w:vMerge/>
            <w:tcMar>
              <w:left w:w="29" w:type="dxa"/>
              <w:right w:w="29" w:type="dxa"/>
            </w:tcMar>
          </w:tcPr>
          <w:p w14:paraId="347062D5" w14:textId="77777777" w:rsidR="000829C3" w:rsidRPr="00B546DE" w:rsidRDefault="000829C3" w:rsidP="007B3F7F">
            <w:pPr>
              <w:pStyle w:val="NoSpacing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8C5AB9" w14:textId="77777777" w:rsidR="000829C3" w:rsidRPr="00B546DE" w:rsidRDefault="000829C3" w:rsidP="00C077B4">
            <w:pPr>
              <w:pStyle w:val="NoSpacing"/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c. Resources</w:t>
            </w:r>
          </w:p>
        </w:tc>
        <w:tc>
          <w:tcPr>
            <w:tcW w:w="3487" w:type="dxa"/>
            <w:tcBorders>
              <w:lef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18140C6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Current staffing resources and future financial and equipment needs are not discussed</w:t>
            </w:r>
          </w:p>
        </w:tc>
        <w:tc>
          <w:tcPr>
            <w:tcW w:w="4608" w:type="dxa"/>
            <w:tcMar>
              <w:left w:w="29" w:type="dxa"/>
              <w:right w:w="29" w:type="dxa"/>
            </w:tcMar>
            <w:vAlign w:val="center"/>
          </w:tcPr>
          <w:p w14:paraId="369ED667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Staffing and faculty resources are discussed but no supporting data or evidence for the needs has been provided</w:t>
            </w:r>
          </w:p>
        </w:tc>
        <w:tc>
          <w:tcPr>
            <w:tcW w:w="4961" w:type="dxa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6940B88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Staffing and faculty expertise are discussed and future needs are presented using enrollment aspirations, curricular changes and/or data to lend support</w:t>
            </w:r>
          </w:p>
        </w:tc>
      </w:tr>
      <w:tr w:rsidR="000829C3" w:rsidRPr="00B546DE" w14:paraId="7F4955A0" w14:textId="77777777" w:rsidTr="00E81AED">
        <w:trPr>
          <w:cantSplit/>
          <w:trHeight w:val="917"/>
        </w:trPr>
        <w:tc>
          <w:tcPr>
            <w:tcW w:w="360" w:type="dxa"/>
            <w:vMerge/>
            <w:tcBorders>
              <w:left w:val="single" w:sz="18" w:space="0" w:color="auto"/>
            </w:tcBorders>
          </w:tcPr>
          <w:p w14:paraId="0B558D77" w14:textId="77777777" w:rsidR="000829C3" w:rsidRPr="00B546DE" w:rsidRDefault="000829C3" w:rsidP="007B3F7F">
            <w:pPr>
              <w:pStyle w:val="NoSpacing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91" w:type="dxa"/>
            <w:vMerge/>
            <w:tcMar>
              <w:left w:w="29" w:type="dxa"/>
              <w:right w:w="29" w:type="dxa"/>
            </w:tcMar>
          </w:tcPr>
          <w:p w14:paraId="6C20CB98" w14:textId="77777777" w:rsidR="000829C3" w:rsidRPr="00B546DE" w:rsidRDefault="000829C3" w:rsidP="007B3F7F">
            <w:pPr>
              <w:pStyle w:val="NoSpacing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1408" w:type="dxa"/>
            <w:gridSpan w:val="3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2F7D5B" w14:textId="77777777" w:rsidR="000829C3" w:rsidRPr="00B546DE" w:rsidRDefault="000829C3" w:rsidP="00C077B4">
            <w:pPr>
              <w:pStyle w:val="NoSpacing"/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3. External Review Summary</w:t>
            </w:r>
          </w:p>
        </w:tc>
        <w:tc>
          <w:tcPr>
            <w:tcW w:w="3487" w:type="dxa"/>
            <w:tcBorders>
              <w:lef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E8DEB4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No external review summary was provided</w:t>
            </w:r>
          </w:p>
        </w:tc>
        <w:tc>
          <w:tcPr>
            <w:tcW w:w="4608" w:type="dxa"/>
            <w:tcMar>
              <w:left w:w="29" w:type="dxa"/>
              <w:right w:w="29" w:type="dxa"/>
            </w:tcMar>
            <w:vAlign w:val="center"/>
          </w:tcPr>
          <w:p w14:paraId="61B486A4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External review did not provide a comparison to professional standards and/or the consistency of the program’s mission to the University; strengths and weaknesses are vaguely identified</w:t>
            </w:r>
          </w:p>
        </w:tc>
        <w:tc>
          <w:tcPr>
            <w:tcW w:w="4961" w:type="dxa"/>
            <w:tcBorders>
              <w:righ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59E26F4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Professional standards used by the reviewer for the evaluation were consistent with the expectations of the University and the program; areas of strength and weakness were identified and recommendations were provided</w:t>
            </w:r>
          </w:p>
        </w:tc>
      </w:tr>
      <w:tr w:rsidR="000829C3" w:rsidRPr="00B546DE" w14:paraId="5D7A237D" w14:textId="77777777" w:rsidTr="00E81AED">
        <w:trPr>
          <w:cantSplit/>
          <w:trHeight w:val="899"/>
        </w:trPr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3B66C60C" w14:textId="77777777" w:rsidR="000829C3" w:rsidRPr="00B546DE" w:rsidRDefault="000829C3" w:rsidP="007B3F7F">
            <w:pPr>
              <w:pStyle w:val="NoSpacing"/>
              <w:ind w:left="113" w:right="113"/>
              <w:jc w:val="center"/>
              <w:rPr>
                <w:rFonts w:ascii="Californian FB" w:hAnsi="Californian FB"/>
                <w:sz w:val="20"/>
              </w:rPr>
            </w:pPr>
          </w:p>
        </w:tc>
        <w:tc>
          <w:tcPr>
            <w:tcW w:w="1699" w:type="dxa"/>
            <w:gridSpan w:val="4"/>
            <w:tcBorders>
              <w:bottom w:val="single" w:sz="18" w:space="0" w:color="auto"/>
              <w:righ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C89BFD" w14:textId="77777777" w:rsidR="000829C3" w:rsidRPr="00B546DE" w:rsidRDefault="000829C3" w:rsidP="00C077B4">
            <w:pPr>
              <w:pStyle w:val="NoSpacing"/>
              <w:rPr>
                <w:rFonts w:ascii="Californian FB" w:hAnsi="Californian FB"/>
                <w:sz w:val="20"/>
              </w:rPr>
            </w:pPr>
            <w:r w:rsidRPr="00B546DE">
              <w:rPr>
                <w:rFonts w:ascii="Californian FB" w:hAnsi="Californian FB"/>
                <w:sz w:val="20"/>
              </w:rPr>
              <w:t>B. Recommendations Action Plan</w:t>
            </w:r>
          </w:p>
        </w:tc>
        <w:tc>
          <w:tcPr>
            <w:tcW w:w="3487" w:type="dxa"/>
            <w:tcBorders>
              <w:left w:val="single" w:sz="18" w:space="0" w:color="auto"/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152CBF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No action plans are provided for relevant recommendations</w:t>
            </w:r>
          </w:p>
        </w:tc>
        <w:tc>
          <w:tcPr>
            <w:tcW w:w="4608" w:type="dxa"/>
            <w:tcBorders>
              <w:bottom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6294B2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Action plans are provided for some of the recommendations and/or all components of the action plans are not indicated</w:t>
            </w:r>
          </w:p>
        </w:tc>
        <w:tc>
          <w:tcPr>
            <w:tcW w:w="4961" w:type="dxa"/>
            <w:tcBorders>
              <w:bottom w:val="single" w:sz="18" w:space="0" w:color="auto"/>
              <w:right w:val="single" w:sz="1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EF4D6D" w14:textId="77777777" w:rsidR="000829C3" w:rsidRPr="00B546DE" w:rsidRDefault="000829C3" w:rsidP="00FC52DE">
            <w:pPr>
              <w:rPr>
                <w:rFonts w:ascii="Californian FB" w:hAnsi="Californian FB"/>
                <w:sz w:val="20"/>
                <w:szCs w:val="20"/>
              </w:rPr>
            </w:pPr>
            <w:r w:rsidRPr="00B546DE">
              <w:rPr>
                <w:rFonts w:ascii="Californian FB" w:hAnsi="Californian FB"/>
                <w:sz w:val="20"/>
                <w:szCs w:val="20"/>
              </w:rPr>
              <w:t>For every internal &amp; external recommendation, an action plan has been provided; the plan includes action steps, faculty/staff assignments and a timeline for addressing recommendations</w:t>
            </w:r>
          </w:p>
        </w:tc>
      </w:tr>
    </w:tbl>
    <w:p w14:paraId="31B06AE5" w14:textId="77777777" w:rsidR="006F0622" w:rsidRDefault="006F0622" w:rsidP="0034699A">
      <w:pPr>
        <w:pStyle w:val="NoSpacing"/>
      </w:pPr>
    </w:p>
    <w:p w14:paraId="5801B007" w14:textId="77777777" w:rsidR="000D4A2C" w:rsidRDefault="000D4A2C" w:rsidP="0034699A">
      <w:pPr>
        <w:pStyle w:val="NoSpacing"/>
      </w:pPr>
    </w:p>
    <w:tbl>
      <w:tblPr>
        <w:tblW w:w="1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630"/>
        <w:gridCol w:w="2682"/>
        <w:gridCol w:w="3078"/>
        <w:gridCol w:w="4410"/>
        <w:gridCol w:w="3960"/>
      </w:tblGrid>
      <w:tr w:rsidR="000D4A2C" w:rsidRPr="000029BA" w14:paraId="5EE864DE" w14:textId="77777777" w:rsidTr="001333A2">
        <w:tc>
          <w:tcPr>
            <w:tcW w:w="366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CAD867" w14:textId="77777777" w:rsidR="000D4A2C" w:rsidRPr="000029BA" w:rsidRDefault="000D4A2C" w:rsidP="000D4A2C">
            <w:pPr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39783E">
              <w:rPr>
                <w:rFonts w:ascii="Californian FB" w:hAnsi="Californian FB"/>
                <w:b/>
                <w:sz w:val="20"/>
                <w:szCs w:val="20"/>
              </w:rPr>
              <w:t>Aspect</w:t>
            </w:r>
          </w:p>
        </w:tc>
        <w:tc>
          <w:tcPr>
            <w:tcW w:w="1144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CDBC9" w14:textId="77777777" w:rsidR="000D4A2C" w:rsidRPr="000029BA" w:rsidRDefault="000D4A2C" w:rsidP="00A63119">
            <w:pPr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39783E">
              <w:rPr>
                <w:rFonts w:ascii="Californian FB" w:hAnsi="Californian FB"/>
                <w:b/>
                <w:sz w:val="20"/>
                <w:szCs w:val="20"/>
              </w:rPr>
              <w:t>Scoring Options</w:t>
            </w:r>
          </w:p>
        </w:tc>
      </w:tr>
      <w:tr w:rsidR="000D4A2C" w:rsidRPr="00320DD2" w14:paraId="1F633E5F" w14:textId="77777777" w:rsidTr="001333A2">
        <w:tc>
          <w:tcPr>
            <w:tcW w:w="3667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270FE" w14:textId="77777777" w:rsidR="000D4A2C" w:rsidRPr="000029BA" w:rsidRDefault="000D4A2C" w:rsidP="00A63119">
            <w:pPr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3078" w:type="dxa"/>
            <w:tcBorders>
              <w:left w:val="single" w:sz="18" w:space="0" w:color="auto"/>
              <w:bottom w:val="single" w:sz="18" w:space="0" w:color="auto"/>
            </w:tcBorders>
          </w:tcPr>
          <w:p w14:paraId="056579AC" w14:textId="77777777" w:rsidR="000D4A2C" w:rsidRPr="00320DD2" w:rsidRDefault="000D4A2C" w:rsidP="00A63119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320DD2">
              <w:rPr>
                <w:rFonts w:ascii="Californian FB" w:hAnsi="Californian FB"/>
                <w:b/>
                <w:sz w:val="20"/>
                <w:szCs w:val="20"/>
              </w:rPr>
              <w:t>0: Absent</w:t>
            </w:r>
          </w:p>
        </w:tc>
        <w:tc>
          <w:tcPr>
            <w:tcW w:w="4410" w:type="dxa"/>
            <w:tcBorders>
              <w:bottom w:val="single" w:sz="18" w:space="0" w:color="auto"/>
            </w:tcBorders>
          </w:tcPr>
          <w:p w14:paraId="20F97435" w14:textId="77777777" w:rsidR="000D4A2C" w:rsidRPr="00320DD2" w:rsidRDefault="000D4A2C" w:rsidP="00A63119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320DD2">
              <w:rPr>
                <w:rFonts w:ascii="Californian FB" w:hAnsi="Californian FB"/>
                <w:b/>
                <w:sz w:val="20"/>
                <w:szCs w:val="20"/>
              </w:rPr>
              <w:t>1: Needs Improvement</w:t>
            </w:r>
          </w:p>
        </w:tc>
        <w:tc>
          <w:tcPr>
            <w:tcW w:w="3960" w:type="dxa"/>
            <w:tcBorders>
              <w:bottom w:val="single" w:sz="18" w:space="0" w:color="auto"/>
              <w:right w:val="single" w:sz="18" w:space="0" w:color="auto"/>
            </w:tcBorders>
          </w:tcPr>
          <w:p w14:paraId="1CEBDBFD" w14:textId="77777777" w:rsidR="000D4A2C" w:rsidRPr="00320DD2" w:rsidRDefault="000D4A2C" w:rsidP="00A63119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320DD2">
              <w:rPr>
                <w:rFonts w:ascii="Californian FB" w:hAnsi="Californian FB"/>
                <w:b/>
                <w:sz w:val="20"/>
                <w:szCs w:val="20"/>
              </w:rPr>
              <w:t>2: Meets Expectations</w:t>
            </w:r>
          </w:p>
        </w:tc>
      </w:tr>
      <w:tr w:rsidR="002F5182" w:rsidRPr="000029BA" w14:paraId="1B62860A" w14:textId="77777777" w:rsidTr="001333A2">
        <w:trPr>
          <w:trHeight w:val="702"/>
        </w:trPr>
        <w:tc>
          <w:tcPr>
            <w:tcW w:w="35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D5C8499" w14:textId="77777777" w:rsidR="002F5182" w:rsidRPr="00FC52DE" w:rsidRDefault="002F5182" w:rsidP="00A63119">
            <w:pPr>
              <w:pStyle w:val="NoSpacing"/>
              <w:ind w:left="113" w:right="113"/>
              <w:jc w:val="center"/>
              <w:rPr>
                <w:rFonts w:ascii="Californian FB" w:hAnsi="Californian FB"/>
                <w:b/>
              </w:rPr>
            </w:pPr>
            <w:r w:rsidRPr="00FC52DE">
              <w:rPr>
                <w:rFonts w:ascii="Californian FB" w:hAnsi="Californian FB"/>
                <w:b/>
                <w:sz w:val="20"/>
              </w:rPr>
              <w:t>II. PART II – STUDENT LEARNING ASSESSMENT</w:t>
            </w:r>
          </w:p>
        </w:tc>
        <w:tc>
          <w:tcPr>
            <w:tcW w:w="630" w:type="dxa"/>
            <w:vMerge w:val="restart"/>
            <w:tcBorders>
              <w:top w:val="single" w:sz="18" w:space="0" w:color="auto"/>
            </w:tcBorders>
            <w:textDirection w:val="btLr"/>
          </w:tcPr>
          <w:p w14:paraId="2157C35E" w14:textId="3E850B9A" w:rsidR="002F5182" w:rsidRPr="000029BA" w:rsidRDefault="002F5182" w:rsidP="00370BEC">
            <w:pPr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7B3F7F">
              <w:rPr>
                <w:rFonts w:ascii="Californian FB" w:hAnsi="Californian FB"/>
                <w:sz w:val="20"/>
                <w:szCs w:val="20"/>
              </w:rPr>
              <w:t xml:space="preserve">A. Student Learning Outcomes </w:t>
            </w:r>
          </w:p>
        </w:tc>
        <w:tc>
          <w:tcPr>
            <w:tcW w:w="268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EEA233" w14:textId="77777777" w:rsidR="002F5182" w:rsidRPr="000029BA" w:rsidRDefault="002F5182" w:rsidP="008B4C88">
            <w:pPr>
              <w:rPr>
                <w:rFonts w:ascii="Californian FB" w:hAnsi="Californian FB"/>
                <w:sz w:val="20"/>
                <w:szCs w:val="20"/>
              </w:rPr>
            </w:pPr>
            <w:r w:rsidRPr="007B3F7F">
              <w:rPr>
                <w:rFonts w:ascii="Californian FB" w:hAnsi="Californian FB"/>
                <w:sz w:val="20"/>
                <w:szCs w:val="20"/>
              </w:rPr>
              <w:t>Student learning outcomes</w:t>
            </w:r>
          </w:p>
        </w:tc>
        <w:tc>
          <w:tcPr>
            <w:tcW w:w="307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D14914" w14:textId="77777777" w:rsidR="002F5182" w:rsidRPr="000029BA" w:rsidRDefault="002F5182" w:rsidP="00A63119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No student-centered</w:t>
            </w:r>
          </w:p>
          <w:p w14:paraId="6EED7A33" w14:textId="77777777" w:rsidR="002F5182" w:rsidRPr="000029BA" w:rsidRDefault="002F5182" w:rsidP="00A63119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learning outcomes at the program level</w:t>
            </w:r>
          </w:p>
        </w:tc>
        <w:tc>
          <w:tcPr>
            <w:tcW w:w="4410" w:type="dxa"/>
            <w:tcBorders>
              <w:top w:val="single" w:sz="18" w:space="0" w:color="auto"/>
            </w:tcBorders>
            <w:vAlign w:val="center"/>
          </w:tcPr>
          <w:p w14:paraId="2775F2FC" w14:textId="77777777" w:rsidR="002F5182" w:rsidRPr="000029BA" w:rsidRDefault="002F5182" w:rsidP="00A63119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Have outcomes, however it is not clear that they are student-learning centered or are not clearly measurable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F77C25" w14:textId="77777777" w:rsidR="002F5182" w:rsidRPr="000029BA" w:rsidRDefault="002F5182" w:rsidP="008B4C88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 xml:space="preserve">Student-centered learning </w:t>
            </w:r>
            <w:r>
              <w:rPr>
                <w:rFonts w:ascii="Californian FB" w:hAnsi="Californian FB"/>
                <w:sz w:val="20"/>
                <w:szCs w:val="20"/>
              </w:rPr>
              <w:t>outcomes</w:t>
            </w:r>
            <w:r w:rsidRPr="000029BA">
              <w:rPr>
                <w:rFonts w:ascii="Californian FB" w:hAnsi="Californian FB"/>
                <w:sz w:val="20"/>
                <w:szCs w:val="20"/>
              </w:rPr>
              <w:t xml:space="preserve"> present and clearly measurable and specific</w:t>
            </w:r>
          </w:p>
        </w:tc>
      </w:tr>
      <w:tr w:rsidR="002F5182" w:rsidRPr="000029BA" w14:paraId="5DEECC03" w14:textId="77777777" w:rsidTr="001333A2">
        <w:trPr>
          <w:trHeight w:val="1250"/>
        </w:trPr>
        <w:tc>
          <w:tcPr>
            <w:tcW w:w="355" w:type="dxa"/>
            <w:vMerge/>
            <w:tcBorders>
              <w:left w:val="single" w:sz="18" w:space="0" w:color="auto"/>
            </w:tcBorders>
          </w:tcPr>
          <w:p w14:paraId="2DBCE502" w14:textId="77777777" w:rsidR="002F5182" w:rsidRPr="007B3F7F" w:rsidRDefault="002F5182" w:rsidP="00A63119">
            <w:pPr>
              <w:pStyle w:val="NoSpacing"/>
              <w:jc w:val="center"/>
              <w:rPr>
                <w:rFonts w:ascii="Californian FB" w:hAnsi="Californian FB"/>
                <w:sz w:val="20"/>
              </w:rPr>
            </w:pPr>
          </w:p>
        </w:tc>
        <w:tc>
          <w:tcPr>
            <w:tcW w:w="630" w:type="dxa"/>
            <w:vMerge/>
            <w:textDirection w:val="btLr"/>
          </w:tcPr>
          <w:p w14:paraId="42AA3A1E" w14:textId="77777777" w:rsidR="002F5182" w:rsidRPr="007B3F7F" w:rsidRDefault="002F5182" w:rsidP="00A63119">
            <w:pPr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682" w:type="dxa"/>
            <w:tcBorders>
              <w:right w:val="single" w:sz="18" w:space="0" w:color="auto"/>
            </w:tcBorders>
            <w:vAlign w:val="center"/>
          </w:tcPr>
          <w:p w14:paraId="17847A2D" w14:textId="3B825036" w:rsidR="002F5182" w:rsidRPr="007B3F7F" w:rsidRDefault="002F5182" w:rsidP="00A63119">
            <w:pPr>
              <w:rPr>
                <w:rFonts w:ascii="Californian FB" w:hAnsi="Californian FB"/>
                <w:sz w:val="20"/>
                <w:szCs w:val="20"/>
              </w:rPr>
            </w:pPr>
            <w:r w:rsidRPr="007B3F7F">
              <w:rPr>
                <w:rFonts w:ascii="Californian FB" w:hAnsi="Californian FB"/>
                <w:sz w:val="20"/>
                <w:szCs w:val="20"/>
              </w:rPr>
              <w:t xml:space="preserve">Alignment with University </w:t>
            </w:r>
            <w:r>
              <w:rPr>
                <w:rFonts w:ascii="Californian FB" w:hAnsi="Californian FB"/>
                <w:sz w:val="20"/>
                <w:szCs w:val="20"/>
              </w:rPr>
              <w:t xml:space="preserve">General Education </w:t>
            </w:r>
            <w:r w:rsidRPr="007B3F7F">
              <w:rPr>
                <w:rFonts w:ascii="Californian FB" w:hAnsi="Californian FB"/>
                <w:sz w:val="20"/>
                <w:szCs w:val="20"/>
              </w:rPr>
              <w:t>Student Learning Goals</w:t>
            </w:r>
            <w:r>
              <w:rPr>
                <w:rFonts w:ascii="Californian FB" w:hAnsi="Californian FB"/>
                <w:sz w:val="20"/>
                <w:szCs w:val="20"/>
              </w:rPr>
              <w:t xml:space="preserve"> </w:t>
            </w:r>
            <w:r w:rsidRPr="006A6247">
              <w:rPr>
                <w:sz w:val="20"/>
                <w:szCs w:val="20"/>
                <w:highlight w:val="yellow"/>
              </w:rPr>
              <w:t>(</w:t>
            </w:r>
            <w:r>
              <w:rPr>
                <w:sz w:val="20"/>
                <w:szCs w:val="20"/>
                <w:highlight w:val="yellow"/>
              </w:rPr>
              <w:t>Required for UNDERGRADUATE programs</w:t>
            </w:r>
            <w:r w:rsidRPr="006A6247">
              <w:rPr>
                <w:sz w:val="20"/>
                <w:szCs w:val="20"/>
                <w:highlight w:val="yellow"/>
              </w:rPr>
              <w:t xml:space="preserve"> ONLY)</w:t>
            </w:r>
          </w:p>
        </w:tc>
        <w:tc>
          <w:tcPr>
            <w:tcW w:w="3078" w:type="dxa"/>
            <w:tcBorders>
              <w:left w:val="single" w:sz="18" w:space="0" w:color="auto"/>
            </w:tcBorders>
            <w:vAlign w:val="center"/>
          </w:tcPr>
          <w:p w14:paraId="504FCBB1" w14:textId="77777777" w:rsidR="002F5182" w:rsidRPr="000029BA" w:rsidRDefault="002F5182" w:rsidP="00A63119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No program-level outcomes linked to the Student Learning Goals</w:t>
            </w:r>
          </w:p>
        </w:tc>
        <w:tc>
          <w:tcPr>
            <w:tcW w:w="4410" w:type="dxa"/>
            <w:vAlign w:val="center"/>
          </w:tcPr>
          <w:p w14:paraId="204619BF" w14:textId="77777777" w:rsidR="002F5182" w:rsidRPr="000029BA" w:rsidRDefault="002F5182" w:rsidP="008B4C88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 xml:space="preserve">An attempt to link some of the program-level outcomes to the Student </w:t>
            </w:r>
            <w:r>
              <w:rPr>
                <w:rFonts w:ascii="Californian FB" w:hAnsi="Californian FB"/>
                <w:sz w:val="20"/>
                <w:szCs w:val="20"/>
              </w:rPr>
              <w:t>Learning Goals</w:t>
            </w:r>
            <w:r w:rsidRPr="000029BA">
              <w:rPr>
                <w:rFonts w:ascii="Californian FB" w:hAnsi="Californian FB"/>
                <w:sz w:val="20"/>
                <w:szCs w:val="20"/>
              </w:rPr>
              <w:t xml:space="preserve"> has been made, however the linkages are unclear or vague and the relative importance has not been identified for all </w:t>
            </w:r>
            <w:r>
              <w:rPr>
                <w:rFonts w:ascii="Californian FB" w:hAnsi="Californian FB"/>
                <w:sz w:val="20"/>
                <w:szCs w:val="20"/>
              </w:rPr>
              <w:t>outcomes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14:paraId="3C568310" w14:textId="77777777" w:rsidR="002F5182" w:rsidRPr="000029BA" w:rsidRDefault="002F5182" w:rsidP="00A63119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All program-level outcomes have been clearly linked to the Student Learning Goals and the relative importance has been identified</w:t>
            </w:r>
          </w:p>
        </w:tc>
      </w:tr>
      <w:tr w:rsidR="002F5182" w:rsidRPr="000029BA" w14:paraId="1FC6B659" w14:textId="77777777" w:rsidTr="001333A2">
        <w:trPr>
          <w:trHeight w:val="647"/>
        </w:trPr>
        <w:tc>
          <w:tcPr>
            <w:tcW w:w="355" w:type="dxa"/>
            <w:vMerge/>
            <w:tcBorders>
              <w:left w:val="single" w:sz="18" w:space="0" w:color="auto"/>
            </w:tcBorders>
          </w:tcPr>
          <w:p w14:paraId="2D0701D0" w14:textId="77777777" w:rsidR="002F5182" w:rsidRPr="007B3F7F" w:rsidRDefault="002F5182" w:rsidP="00A63119">
            <w:pPr>
              <w:pStyle w:val="NoSpacing"/>
              <w:jc w:val="center"/>
              <w:rPr>
                <w:rFonts w:ascii="Californian FB" w:hAnsi="Californian FB"/>
                <w:sz w:val="20"/>
              </w:rPr>
            </w:pPr>
          </w:p>
        </w:tc>
        <w:tc>
          <w:tcPr>
            <w:tcW w:w="630" w:type="dxa"/>
            <w:vMerge/>
            <w:textDirection w:val="btLr"/>
          </w:tcPr>
          <w:p w14:paraId="00DD536C" w14:textId="77777777" w:rsidR="002F5182" w:rsidRPr="007B3F7F" w:rsidRDefault="002F5182" w:rsidP="00A63119">
            <w:pPr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682" w:type="dxa"/>
            <w:tcBorders>
              <w:right w:val="single" w:sz="18" w:space="0" w:color="auto"/>
            </w:tcBorders>
            <w:vAlign w:val="center"/>
          </w:tcPr>
          <w:p w14:paraId="45D5F4F4" w14:textId="7E909999" w:rsidR="002F5182" w:rsidRPr="007B3F7F" w:rsidRDefault="002F5182" w:rsidP="00A63119">
            <w:pPr>
              <w:rPr>
                <w:rFonts w:ascii="Californian FB" w:hAnsi="Californian FB"/>
                <w:sz w:val="20"/>
                <w:szCs w:val="20"/>
              </w:rPr>
            </w:pPr>
            <w:r w:rsidRPr="007B3F7F">
              <w:rPr>
                <w:rFonts w:ascii="Californian FB" w:hAnsi="Californian FB"/>
                <w:sz w:val="20"/>
                <w:szCs w:val="20"/>
              </w:rPr>
              <w:t>Course</w:t>
            </w:r>
            <w:r>
              <w:rPr>
                <w:rFonts w:ascii="Californian FB" w:hAnsi="Californian FB"/>
                <w:sz w:val="20"/>
                <w:szCs w:val="20"/>
              </w:rPr>
              <w:t>s</w:t>
            </w:r>
            <w:r w:rsidRPr="007B3F7F">
              <w:rPr>
                <w:rFonts w:ascii="Californian FB" w:hAnsi="Californian FB"/>
                <w:sz w:val="20"/>
                <w:szCs w:val="20"/>
              </w:rPr>
              <w:t>/learning experiences are mapped to outcomes</w:t>
            </w:r>
          </w:p>
        </w:tc>
        <w:tc>
          <w:tcPr>
            <w:tcW w:w="3078" w:type="dxa"/>
            <w:tcBorders>
              <w:left w:val="single" w:sz="18" w:space="0" w:color="auto"/>
            </w:tcBorders>
            <w:vAlign w:val="center"/>
          </w:tcPr>
          <w:p w14:paraId="3C23209D" w14:textId="7E02D8F6" w:rsidR="002F5182" w:rsidRPr="000029BA" w:rsidRDefault="002F5182" w:rsidP="005439BB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 xml:space="preserve">No </w:t>
            </w:r>
            <w:r>
              <w:rPr>
                <w:rFonts w:ascii="Californian FB" w:hAnsi="Californian FB"/>
                <w:sz w:val="20"/>
                <w:szCs w:val="20"/>
              </w:rPr>
              <w:t>courses/learning experiences are</w:t>
            </w:r>
            <w:r w:rsidRPr="000029BA">
              <w:rPr>
                <w:rFonts w:ascii="Californian FB" w:hAnsi="Californian FB"/>
                <w:sz w:val="20"/>
                <w:szCs w:val="20"/>
              </w:rPr>
              <w:t xml:space="preserve"> linked to </w:t>
            </w:r>
            <w:r>
              <w:rPr>
                <w:rFonts w:ascii="Californian FB" w:hAnsi="Californian FB"/>
                <w:sz w:val="20"/>
                <w:szCs w:val="20"/>
              </w:rPr>
              <w:t>outcomes</w:t>
            </w:r>
          </w:p>
        </w:tc>
        <w:tc>
          <w:tcPr>
            <w:tcW w:w="4410" w:type="dxa"/>
            <w:vAlign w:val="center"/>
          </w:tcPr>
          <w:p w14:paraId="2AA70286" w14:textId="15C3353F" w:rsidR="002F5182" w:rsidRPr="000029BA" w:rsidRDefault="002F5182" w:rsidP="005439BB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 xml:space="preserve">Some </w:t>
            </w:r>
            <w:r>
              <w:rPr>
                <w:rFonts w:ascii="Californian FB" w:hAnsi="Californian FB"/>
                <w:sz w:val="20"/>
                <w:szCs w:val="20"/>
              </w:rPr>
              <w:t>outcomes</w:t>
            </w:r>
            <w:r w:rsidRPr="000029BA">
              <w:rPr>
                <w:rFonts w:ascii="Californian FB" w:hAnsi="Californian FB"/>
                <w:sz w:val="20"/>
                <w:szCs w:val="20"/>
              </w:rPr>
              <w:t xml:space="preserve"> have </w:t>
            </w:r>
            <w:r>
              <w:rPr>
                <w:rFonts w:ascii="Californian FB" w:hAnsi="Californian FB"/>
                <w:sz w:val="20"/>
                <w:szCs w:val="20"/>
              </w:rPr>
              <w:t>courses/learning experiences</w:t>
            </w:r>
            <w:r w:rsidRPr="000029BA">
              <w:rPr>
                <w:rFonts w:ascii="Californian FB" w:hAnsi="Californian FB"/>
                <w:sz w:val="20"/>
                <w:szCs w:val="20"/>
              </w:rPr>
              <w:t xml:space="preserve"> linked to them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14:paraId="6418A033" w14:textId="66B412E5" w:rsidR="002F5182" w:rsidRPr="000029BA" w:rsidRDefault="002F5182" w:rsidP="005439BB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 xml:space="preserve">All </w:t>
            </w:r>
            <w:r>
              <w:rPr>
                <w:rFonts w:ascii="Californian FB" w:hAnsi="Californian FB"/>
                <w:sz w:val="20"/>
                <w:szCs w:val="20"/>
              </w:rPr>
              <w:t>outcomes</w:t>
            </w:r>
            <w:r w:rsidRPr="000029BA">
              <w:rPr>
                <w:rFonts w:ascii="Californian FB" w:hAnsi="Californian FB"/>
                <w:sz w:val="20"/>
                <w:szCs w:val="20"/>
              </w:rPr>
              <w:t xml:space="preserve"> have </w:t>
            </w:r>
            <w:r>
              <w:rPr>
                <w:rFonts w:ascii="Californian FB" w:hAnsi="Californian FB"/>
                <w:sz w:val="20"/>
                <w:szCs w:val="20"/>
              </w:rPr>
              <w:t>courses/learning experiences</w:t>
            </w:r>
            <w:r w:rsidRPr="000029BA">
              <w:rPr>
                <w:rFonts w:ascii="Californian FB" w:hAnsi="Californian FB"/>
                <w:sz w:val="20"/>
                <w:szCs w:val="20"/>
              </w:rPr>
              <w:t xml:space="preserve"> clearly linked to them</w:t>
            </w:r>
          </w:p>
        </w:tc>
      </w:tr>
      <w:tr w:rsidR="002F5182" w:rsidRPr="000029BA" w14:paraId="50B25482" w14:textId="77777777" w:rsidTr="001333A2">
        <w:trPr>
          <w:trHeight w:val="1025"/>
        </w:trPr>
        <w:tc>
          <w:tcPr>
            <w:tcW w:w="355" w:type="dxa"/>
            <w:vMerge/>
            <w:tcBorders>
              <w:left w:val="single" w:sz="18" w:space="0" w:color="auto"/>
            </w:tcBorders>
          </w:tcPr>
          <w:p w14:paraId="254E2470" w14:textId="77777777" w:rsidR="002F5182" w:rsidRPr="007B3F7F" w:rsidRDefault="002F5182" w:rsidP="00A63119">
            <w:pPr>
              <w:pStyle w:val="NoSpacing"/>
              <w:jc w:val="center"/>
              <w:rPr>
                <w:rFonts w:ascii="Californian FB" w:hAnsi="Californian FB"/>
                <w:sz w:val="20"/>
              </w:rPr>
            </w:pPr>
          </w:p>
        </w:tc>
        <w:tc>
          <w:tcPr>
            <w:tcW w:w="630" w:type="dxa"/>
            <w:vMerge w:val="restart"/>
            <w:textDirection w:val="btLr"/>
          </w:tcPr>
          <w:p w14:paraId="41D8A7B1" w14:textId="383DD6DC" w:rsidR="002F5182" w:rsidRPr="007B3F7F" w:rsidRDefault="002F5182" w:rsidP="00A63119">
            <w:pPr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  <w:r w:rsidRPr="007B3F7F">
              <w:rPr>
                <w:rFonts w:ascii="Californian FB" w:hAnsi="Californian FB"/>
                <w:sz w:val="20"/>
                <w:szCs w:val="20"/>
              </w:rPr>
              <w:t>B. Assessment Methods, Results</w:t>
            </w:r>
            <w:r>
              <w:rPr>
                <w:rFonts w:ascii="Californian FB" w:hAnsi="Californian FB"/>
                <w:sz w:val="20"/>
                <w:szCs w:val="20"/>
              </w:rPr>
              <w:t>, Dissemination,</w:t>
            </w:r>
            <w:r w:rsidRPr="007B3F7F">
              <w:rPr>
                <w:rFonts w:ascii="Californian FB" w:hAnsi="Californian FB"/>
                <w:sz w:val="20"/>
                <w:szCs w:val="20"/>
              </w:rPr>
              <w:t xml:space="preserve"> and Use</w:t>
            </w:r>
          </w:p>
        </w:tc>
        <w:tc>
          <w:tcPr>
            <w:tcW w:w="2682" w:type="dxa"/>
            <w:tcBorders>
              <w:right w:val="single" w:sz="18" w:space="0" w:color="auto"/>
            </w:tcBorders>
            <w:vAlign w:val="center"/>
          </w:tcPr>
          <w:p w14:paraId="2FA60453" w14:textId="37687FF4" w:rsidR="002F5182" w:rsidRPr="007B3F7F" w:rsidRDefault="002F5182" w:rsidP="00A63119">
            <w:pPr>
              <w:rPr>
                <w:rFonts w:ascii="Californian FB" w:hAnsi="Californian FB"/>
                <w:sz w:val="20"/>
                <w:szCs w:val="20"/>
              </w:rPr>
            </w:pPr>
            <w:r w:rsidRPr="007B3F7F">
              <w:rPr>
                <w:rFonts w:ascii="Californian FB" w:hAnsi="Californian FB"/>
                <w:sz w:val="20"/>
                <w:szCs w:val="20"/>
              </w:rPr>
              <w:t>Systematic method for evaluation of achievement of o</w:t>
            </w:r>
            <w:r>
              <w:rPr>
                <w:rFonts w:ascii="Californian FB" w:hAnsi="Californian FB"/>
                <w:sz w:val="20"/>
                <w:szCs w:val="20"/>
              </w:rPr>
              <w:t>utcomes</w:t>
            </w:r>
          </w:p>
        </w:tc>
        <w:tc>
          <w:tcPr>
            <w:tcW w:w="3078" w:type="dxa"/>
            <w:tcBorders>
              <w:left w:val="single" w:sz="18" w:space="0" w:color="auto"/>
            </w:tcBorders>
            <w:vAlign w:val="center"/>
          </w:tcPr>
          <w:p w14:paraId="0F00A186" w14:textId="3F0178CD" w:rsidR="002F5182" w:rsidRPr="000029BA" w:rsidRDefault="002F5182" w:rsidP="00A63119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No assessment plan</w:t>
            </w:r>
          </w:p>
        </w:tc>
        <w:tc>
          <w:tcPr>
            <w:tcW w:w="4410" w:type="dxa"/>
            <w:vAlign w:val="center"/>
          </w:tcPr>
          <w:p w14:paraId="26413C17" w14:textId="36841D0D" w:rsidR="002F5182" w:rsidRPr="000029BA" w:rsidRDefault="002F5182" w:rsidP="008B4C88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 xml:space="preserve">Uses only survey or indirect methods; or assessment is not linked to </w:t>
            </w:r>
            <w:r>
              <w:rPr>
                <w:rFonts w:ascii="Californian FB" w:hAnsi="Californian FB"/>
                <w:sz w:val="20"/>
                <w:szCs w:val="20"/>
              </w:rPr>
              <w:t>outcomes</w:t>
            </w:r>
            <w:r w:rsidRPr="000029BA">
              <w:rPr>
                <w:rFonts w:ascii="Californian FB" w:hAnsi="Californian FB"/>
                <w:sz w:val="20"/>
                <w:szCs w:val="20"/>
              </w:rPr>
              <w:t xml:space="preserve">; not all </w:t>
            </w:r>
            <w:r>
              <w:rPr>
                <w:rFonts w:ascii="Californian FB" w:hAnsi="Californian FB"/>
                <w:sz w:val="20"/>
                <w:szCs w:val="20"/>
              </w:rPr>
              <w:t>outcomes</w:t>
            </w:r>
            <w:r w:rsidRPr="000029BA">
              <w:rPr>
                <w:rFonts w:ascii="Californian FB" w:hAnsi="Californian FB"/>
                <w:sz w:val="20"/>
                <w:szCs w:val="20"/>
              </w:rPr>
              <w:t xml:space="preserve"> have identified method for evaluation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14:paraId="2FAB10DA" w14:textId="055B47A1" w:rsidR="002F5182" w:rsidRPr="000029BA" w:rsidRDefault="002F5182" w:rsidP="00A63119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 xml:space="preserve">All outcomes are assessed using direct measures; assessment is clearly linked to </w:t>
            </w:r>
            <w:r>
              <w:rPr>
                <w:rFonts w:ascii="Californian FB" w:hAnsi="Californian FB"/>
                <w:sz w:val="20"/>
                <w:szCs w:val="20"/>
              </w:rPr>
              <w:t>outcomes</w:t>
            </w:r>
          </w:p>
        </w:tc>
      </w:tr>
      <w:tr w:rsidR="002F5182" w:rsidRPr="000029BA" w14:paraId="32936707" w14:textId="77777777" w:rsidTr="001333A2">
        <w:trPr>
          <w:trHeight w:val="890"/>
        </w:trPr>
        <w:tc>
          <w:tcPr>
            <w:tcW w:w="355" w:type="dxa"/>
            <w:vMerge/>
            <w:tcBorders>
              <w:left w:val="single" w:sz="18" w:space="0" w:color="auto"/>
            </w:tcBorders>
          </w:tcPr>
          <w:p w14:paraId="2D1568B5" w14:textId="77777777" w:rsidR="002F5182" w:rsidRPr="007B3F7F" w:rsidRDefault="002F5182" w:rsidP="00A63119">
            <w:pPr>
              <w:pStyle w:val="NoSpacing"/>
              <w:jc w:val="center"/>
              <w:rPr>
                <w:rFonts w:ascii="Californian FB" w:hAnsi="Californian FB"/>
                <w:sz w:val="20"/>
              </w:rPr>
            </w:pPr>
          </w:p>
        </w:tc>
        <w:tc>
          <w:tcPr>
            <w:tcW w:w="630" w:type="dxa"/>
            <w:vMerge/>
            <w:textDirection w:val="btLr"/>
          </w:tcPr>
          <w:p w14:paraId="295EA486" w14:textId="3025F47F" w:rsidR="002F5182" w:rsidRPr="007B3F7F" w:rsidRDefault="002F5182" w:rsidP="002F5182">
            <w:pPr>
              <w:ind w:left="113" w:right="113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682" w:type="dxa"/>
            <w:tcBorders>
              <w:right w:val="single" w:sz="18" w:space="0" w:color="auto"/>
            </w:tcBorders>
            <w:vAlign w:val="center"/>
          </w:tcPr>
          <w:p w14:paraId="2EDA6812" w14:textId="3B9967EC" w:rsidR="002F5182" w:rsidRPr="007B3F7F" w:rsidRDefault="002F5182" w:rsidP="00370BEC">
            <w:pPr>
              <w:rPr>
                <w:rFonts w:ascii="Californian FB" w:hAnsi="Californian FB"/>
                <w:sz w:val="20"/>
                <w:szCs w:val="20"/>
              </w:rPr>
            </w:pPr>
            <w:r w:rsidRPr="007B3F7F">
              <w:rPr>
                <w:rFonts w:ascii="Californian FB" w:hAnsi="Californian FB"/>
                <w:sz w:val="20"/>
                <w:szCs w:val="20"/>
              </w:rPr>
              <w:t>Results of program assessment</w:t>
            </w:r>
          </w:p>
        </w:tc>
        <w:tc>
          <w:tcPr>
            <w:tcW w:w="3078" w:type="dxa"/>
            <w:tcBorders>
              <w:left w:val="single" w:sz="18" w:space="0" w:color="auto"/>
            </w:tcBorders>
            <w:vAlign w:val="center"/>
          </w:tcPr>
          <w:p w14:paraId="0BD747A5" w14:textId="07348C53" w:rsidR="002F5182" w:rsidRPr="000029BA" w:rsidRDefault="002F5182" w:rsidP="00A63119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No results presented</w:t>
            </w:r>
          </w:p>
        </w:tc>
        <w:tc>
          <w:tcPr>
            <w:tcW w:w="4410" w:type="dxa"/>
            <w:vAlign w:val="center"/>
          </w:tcPr>
          <w:p w14:paraId="5CE434E5" w14:textId="05F7F97D" w:rsidR="002F5182" w:rsidRPr="000029BA" w:rsidRDefault="002F5182" w:rsidP="008B4C88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List results for some but not ALL outcomes, and/or no interpretation of results, and/or only 1 year of data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14:paraId="39CE189F" w14:textId="152ADFC5" w:rsidR="002F5182" w:rsidRPr="000029BA" w:rsidRDefault="002F5182" w:rsidP="008B4C88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Results from last seven years listed, data collected for ALL outcomes and all results are clearly interpreted</w:t>
            </w:r>
          </w:p>
        </w:tc>
      </w:tr>
      <w:tr w:rsidR="002F5182" w:rsidRPr="000029BA" w14:paraId="058BDE95" w14:textId="77777777" w:rsidTr="001333A2">
        <w:trPr>
          <w:trHeight w:val="800"/>
        </w:trPr>
        <w:tc>
          <w:tcPr>
            <w:tcW w:w="355" w:type="dxa"/>
            <w:vMerge/>
            <w:tcBorders>
              <w:left w:val="single" w:sz="18" w:space="0" w:color="auto"/>
            </w:tcBorders>
          </w:tcPr>
          <w:p w14:paraId="5BE43429" w14:textId="77777777" w:rsidR="002F5182" w:rsidRPr="007B3F7F" w:rsidRDefault="002F5182" w:rsidP="009630F3">
            <w:pPr>
              <w:pStyle w:val="NoSpacing"/>
              <w:jc w:val="center"/>
              <w:rPr>
                <w:rFonts w:ascii="Californian FB" w:hAnsi="Californian FB"/>
                <w:sz w:val="20"/>
              </w:rPr>
            </w:pPr>
          </w:p>
        </w:tc>
        <w:tc>
          <w:tcPr>
            <w:tcW w:w="630" w:type="dxa"/>
            <w:vMerge/>
            <w:textDirection w:val="btLr"/>
          </w:tcPr>
          <w:p w14:paraId="5CB1E0B6" w14:textId="77777777" w:rsidR="002F5182" w:rsidRPr="007B3F7F" w:rsidRDefault="002F5182" w:rsidP="009630F3">
            <w:pPr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682" w:type="dxa"/>
            <w:tcBorders>
              <w:right w:val="single" w:sz="18" w:space="0" w:color="auto"/>
            </w:tcBorders>
            <w:vAlign w:val="center"/>
          </w:tcPr>
          <w:p w14:paraId="2F067B76" w14:textId="62FC511E" w:rsidR="002F5182" w:rsidRPr="007B3F7F" w:rsidRDefault="002F5182" w:rsidP="009630F3">
            <w:pPr>
              <w:rPr>
                <w:rFonts w:ascii="Californian FB" w:hAnsi="Californian FB"/>
                <w:sz w:val="20"/>
                <w:szCs w:val="20"/>
              </w:rPr>
            </w:pPr>
            <w:r>
              <w:rPr>
                <w:rFonts w:ascii="Californian FB" w:hAnsi="Californian FB"/>
                <w:sz w:val="20"/>
                <w:szCs w:val="20"/>
              </w:rPr>
              <w:t>Dissemination of results</w:t>
            </w:r>
          </w:p>
        </w:tc>
        <w:tc>
          <w:tcPr>
            <w:tcW w:w="3078" w:type="dxa"/>
            <w:tcBorders>
              <w:left w:val="single" w:sz="18" w:space="0" w:color="auto"/>
            </w:tcBorders>
            <w:vAlign w:val="center"/>
          </w:tcPr>
          <w:p w14:paraId="26BB3370" w14:textId="735A6AB9" w:rsidR="002F5182" w:rsidRPr="000029BA" w:rsidRDefault="002F5182" w:rsidP="009630F3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No plan of communication</w:t>
            </w:r>
          </w:p>
        </w:tc>
        <w:tc>
          <w:tcPr>
            <w:tcW w:w="4410" w:type="dxa"/>
            <w:vAlign w:val="center"/>
          </w:tcPr>
          <w:p w14:paraId="76B113CB" w14:textId="6DA570FE" w:rsidR="002F5182" w:rsidRPr="000029BA" w:rsidRDefault="002F5182" w:rsidP="009630F3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Information provided to limited number of faculty or plan is unclear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14:paraId="02515739" w14:textId="578A8924" w:rsidR="002F5182" w:rsidRPr="000029BA" w:rsidRDefault="002F5182" w:rsidP="009630F3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 xml:space="preserve">Information provided to all faculty and others such as advisory committees, conferences, and </w:t>
            </w:r>
            <w:r>
              <w:rPr>
                <w:rFonts w:ascii="Californian FB" w:hAnsi="Californian FB"/>
                <w:sz w:val="20"/>
                <w:szCs w:val="20"/>
              </w:rPr>
              <w:t xml:space="preserve">other </w:t>
            </w:r>
            <w:r w:rsidRPr="000029BA">
              <w:rPr>
                <w:rFonts w:ascii="Californian FB" w:hAnsi="Californian FB"/>
                <w:sz w:val="20"/>
                <w:szCs w:val="20"/>
              </w:rPr>
              <w:t>stakeholders</w:t>
            </w:r>
            <w:r>
              <w:rPr>
                <w:rFonts w:ascii="Californian FB" w:hAnsi="Californian FB"/>
                <w:sz w:val="20"/>
                <w:szCs w:val="20"/>
              </w:rPr>
              <w:t xml:space="preserve"> (e.g., students, alumni)</w:t>
            </w:r>
          </w:p>
        </w:tc>
      </w:tr>
      <w:tr w:rsidR="002F5182" w:rsidRPr="000029BA" w14:paraId="387044E0" w14:textId="77777777" w:rsidTr="001333A2">
        <w:trPr>
          <w:trHeight w:val="1016"/>
        </w:trPr>
        <w:tc>
          <w:tcPr>
            <w:tcW w:w="355" w:type="dxa"/>
            <w:vMerge/>
            <w:tcBorders>
              <w:left w:val="single" w:sz="18" w:space="0" w:color="auto"/>
            </w:tcBorders>
          </w:tcPr>
          <w:p w14:paraId="61E6A86F" w14:textId="77777777" w:rsidR="002F5182" w:rsidRPr="007B3F7F" w:rsidRDefault="002F5182" w:rsidP="009630F3">
            <w:pPr>
              <w:pStyle w:val="NoSpacing"/>
              <w:jc w:val="center"/>
              <w:rPr>
                <w:rFonts w:ascii="Californian FB" w:hAnsi="Californian FB"/>
                <w:sz w:val="20"/>
              </w:rPr>
            </w:pPr>
          </w:p>
        </w:tc>
        <w:tc>
          <w:tcPr>
            <w:tcW w:w="630" w:type="dxa"/>
            <w:vMerge/>
            <w:textDirection w:val="btLr"/>
          </w:tcPr>
          <w:p w14:paraId="68D8A4E5" w14:textId="77777777" w:rsidR="002F5182" w:rsidRPr="007B3F7F" w:rsidRDefault="002F5182" w:rsidP="009630F3">
            <w:pPr>
              <w:ind w:left="113" w:right="113"/>
              <w:jc w:val="center"/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2682" w:type="dxa"/>
            <w:tcBorders>
              <w:right w:val="single" w:sz="18" w:space="0" w:color="auto"/>
            </w:tcBorders>
            <w:vAlign w:val="center"/>
          </w:tcPr>
          <w:p w14:paraId="5A3ADC67" w14:textId="0F4B3E81" w:rsidR="002F5182" w:rsidRPr="007B3F7F" w:rsidRDefault="002F5182" w:rsidP="009630F3">
            <w:pPr>
              <w:rPr>
                <w:rFonts w:ascii="Californian FB" w:hAnsi="Californian FB"/>
                <w:sz w:val="20"/>
                <w:szCs w:val="20"/>
              </w:rPr>
            </w:pPr>
            <w:r w:rsidRPr="007B3F7F">
              <w:rPr>
                <w:rFonts w:ascii="Californian FB" w:hAnsi="Californian FB"/>
                <w:sz w:val="20"/>
                <w:szCs w:val="20"/>
              </w:rPr>
              <w:t>Use of results</w:t>
            </w:r>
          </w:p>
        </w:tc>
        <w:tc>
          <w:tcPr>
            <w:tcW w:w="3078" w:type="dxa"/>
            <w:tcBorders>
              <w:left w:val="single" w:sz="18" w:space="0" w:color="auto"/>
            </w:tcBorders>
            <w:vAlign w:val="center"/>
          </w:tcPr>
          <w:p w14:paraId="1F2634E2" w14:textId="215B8352" w:rsidR="002F5182" w:rsidRPr="000029BA" w:rsidRDefault="002F5182" w:rsidP="009630F3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No plan for improvement</w:t>
            </w:r>
          </w:p>
        </w:tc>
        <w:tc>
          <w:tcPr>
            <w:tcW w:w="4410" w:type="dxa"/>
            <w:vAlign w:val="center"/>
          </w:tcPr>
          <w:p w14:paraId="17C7974C" w14:textId="298B60DF" w:rsidR="002F5182" w:rsidRPr="000029BA" w:rsidRDefault="002F5182" w:rsidP="009630F3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No specifics listed for improvement; or improvements focus on assessment and not program; or change not focused on student learning or development; or linkage to results is unclear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14:paraId="5F04063D" w14:textId="7C711BBA" w:rsidR="002F5182" w:rsidRPr="000029BA" w:rsidRDefault="002F5182" w:rsidP="009630F3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Provide</w:t>
            </w:r>
            <w:r>
              <w:rPr>
                <w:rFonts w:ascii="Californian FB" w:hAnsi="Californian FB"/>
                <w:sz w:val="20"/>
                <w:szCs w:val="20"/>
              </w:rPr>
              <w:t>d</w:t>
            </w:r>
            <w:r w:rsidRPr="000029BA">
              <w:rPr>
                <w:rFonts w:ascii="Californian FB" w:hAnsi="Californian FB"/>
                <w:sz w:val="20"/>
                <w:szCs w:val="20"/>
              </w:rPr>
              <w:t xml:space="preserve"> specifics for improvement; changes are program (not assessment) focused; multiple methods of improvement utilized and linked to results</w:t>
            </w:r>
          </w:p>
        </w:tc>
      </w:tr>
      <w:tr w:rsidR="002F5182" w:rsidRPr="000029BA" w14:paraId="0398074F" w14:textId="77777777" w:rsidTr="001333A2">
        <w:trPr>
          <w:cantSplit/>
          <w:trHeight w:val="1025"/>
        </w:trPr>
        <w:tc>
          <w:tcPr>
            <w:tcW w:w="35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3DE7998" w14:textId="77777777" w:rsidR="002F5182" w:rsidRPr="007B3F7F" w:rsidRDefault="002F5182" w:rsidP="009630F3">
            <w:pPr>
              <w:pStyle w:val="NoSpacing"/>
              <w:jc w:val="center"/>
              <w:rPr>
                <w:rFonts w:ascii="Californian FB" w:hAnsi="Californian FB"/>
                <w:sz w:val="20"/>
              </w:rPr>
            </w:pPr>
          </w:p>
        </w:tc>
        <w:tc>
          <w:tcPr>
            <w:tcW w:w="331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EBA2B8" w14:textId="3B217737" w:rsidR="002F5182" w:rsidRPr="007B3F7F" w:rsidRDefault="002F5182" w:rsidP="009630F3">
            <w:pPr>
              <w:rPr>
                <w:rFonts w:ascii="Californian FB" w:hAnsi="Californian FB"/>
                <w:sz w:val="20"/>
                <w:szCs w:val="20"/>
              </w:rPr>
            </w:pPr>
            <w:r w:rsidRPr="007B3F7F">
              <w:rPr>
                <w:rFonts w:ascii="Californian FB" w:hAnsi="Californian FB"/>
                <w:sz w:val="20"/>
                <w:szCs w:val="20"/>
              </w:rPr>
              <w:t>C. Assessment Action Plan</w:t>
            </w:r>
          </w:p>
        </w:tc>
        <w:tc>
          <w:tcPr>
            <w:tcW w:w="30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CE5945" w14:textId="616CF1D9" w:rsidR="002F5182" w:rsidRPr="000029BA" w:rsidRDefault="002F5182" w:rsidP="009630F3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No assessment action plan is provided</w:t>
            </w:r>
          </w:p>
        </w:tc>
        <w:tc>
          <w:tcPr>
            <w:tcW w:w="4410" w:type="dxa"/>
            <w:tcBorders>
              <w:bottom w:val="single" w:sz="18" w:space="0" w:color="auto"/>
            </w:tcBorders>
            <w:vAlign w:val="center"/>
          </w:tcPr>
          <w:p w14:paraId="1143592D" w14:textId="29577CF6" w:rsidR="002F5182" w:rsidRPr="000029BA" w:rsidRDefault="002F5182" w:rsidP="009630F3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Assessment action plan is provided but some of the components of the action plan are not indicated</w:t>
            </w:r>
          </w:p>
        </w:tc>
        <w:tc>
          <w:tcPr>
            <w:tcW w:w="39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FC0D429" w14:textId="7E188AC2" w:rsidR="002F5182" w:rsidRPr="000029BA" w:rsidRDefault="002F5182" w:rsidP="009630F3">
            <w:pPr>
              <w:rPr>
                <w:rFonts w:ascii="Californian FB" w:hAnsi="Californian FB"/>
                <w:sz w:val="20"/>
                <w:szCs w:val="20"/>
              </w:rPr>
            </w:pPr>
            <w:r w:rsidRPr="000029BA">
              <w:rPr>
                <w:rFonts w:ascii="Californian FB" w:hAnsi="Californian FB"/>
                <w:sz w:val="20"/>
                <w:szCs w:val="20"/>
              </w:rPr>
              <w:t>An assessment action plan has been provided; the plan includes action steps, faculty/staff assignments and a timeline for building a comprehensive assessment plan</w:t>
            </w:r>
          </w:p>
        </w:tc>
      </w:tr>
    </w:tbl>
    <w:p w14:paraId="7A5D1014" w14:textId="77777777" w:rsidR="000D4A2C" w:rsidRPr="000029BA" w:rsidRDefault="000D4A2C" w:rsidP="0034699A">
      <w:pPr>
        <w:pStyle w:val="NoSpacing"/>
      </w:pPr>
    </w:p>
    <w:sectPr w:rsidR="000D4A2C" w:rsidRPr="000029BA" w:rsidSect="00E81AED">
      <w:footerReference w:type="default" r:id="rId11"/>
      <w:pgSz w:w="15840" w:h="12240" w:orient="landscape"/>
      <w:pgMar w:top="360" w:right="360" w:bottom="10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B72F0" w14:textId="77777777" w:rsidR="00140D1E" w:rsidRDefault="00140D1E" w:rsidP="00675777">
      <w:r>
        <w:separator/>
      </w:r>
    </w:p>
  </w:endnote>
  <w:endnote w:type="continuationSeparator" w:id="0">
    <w:p w14:paraId="0C4A91AC" w14:textId="77777777" w:rsidR="00140D1E" w:rsidRDefault="00140D1E" w:rsidP="0067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B75CD" w14:textId="4AFAD1BB" w:rsidR="00140D1E" w:rsidRPr="0039783E" w:rsidRDefault="00CF69C0" w:rsidP="00BC5ED0">
    <w:pPr>
      <w:pStyle w:val="Footer"/>
      <w:jc w:val="center"/>
      <w:rPr>
        <w:sz w:val="20"/>
        <w:szCs w:val="16"/>
      </w:rPr>
    </w:pPr>
    <w:sdt>
      <w:sdtPr>
        <w:rPr>
          <w:sz w:val="16"/>
          <w:szCs w:val="16"/>
        </w:rPr>
        <w:id w:val="188803237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sdt>
          <w:sdtPr>
            <w:rPr>
              <w:sz w:val="16"/>
              <w:szCs w:val="16"/>
            </w:rPr>
            <w:id w:val="1645316695"/>
            <w:docPartObj>
              <w:docPartGallery w:val="Page Numbers (Top of Page)"/>
              <w:docPartUnique/>
            </w:docPartObj>
          </w:sdtPr>
          <w:sdtEndPr>
            <w:rPr>
              <w:sz w:val="20"/>
            </w:rPr>
          </w:sdtEndPr>
          <w:sdtContent>
            <w:r w:rsidR="00B546DE" w:rsidRPr="0039783E">
              <w:rPr>
                <w:i/>
                <w:sz w:val="20"/>
                <w:szCs w:val="16"/>
              </w:rPr>
              <w:t>Salisbury University</w:t>
            </w:r>
            <w:r w:rsidR="0039783E">
              <w:rPr>
                <w:i/>
                <w:sz w:val="20"/>
                <w:szCs w:val="16"/>
              </w:rPr>
              <w:t xml:space="preserve"> </w:t>
            </w:r>
            <w:r w:rsidR="00B546DE" w:rsidRPr="0039783E">
              <w:rPr>
                <w:i/>
                <w:sz w:val="20"/>
                <w:szCs w:val="16"/>
              </w:rPr>
              <w:t xml:space="preserve">- </w:t>
            </w:r>
            <w:r w:rsidR="00BC5ED0" w:rsidRPr="00FC52DE">
              <w:rPr>
                <w:b/>
                <w:i/>
                <w:sz w:val="20"/>
                <w:szCs w:val="16"/>
              </w:rPr>
              <w:t>APR Rubric</w:t>
            </w:r>
            <w:r w:rsidR="00BC5ED0" w:rsidRPr="0039783E">
              <w:rPr>
                <w:i/>
                <w:sz w:val="20"/>
                <w:szCs w:val="16"/>
              </w:rPr>
              <w:t xml:space="preserve"> - Updated </w:t>
            </w:r>
            <w:r>
              <w:rPr>
                <w:i/>
                <w:sz w:val="20"/>
                <w:szCs w:val="16"/>
              </w:rPr>
              <w:t>July</w:t>
            </w:r>
            <w:r w:rsidR="00370BEC">
              <w:rPr>
                <w:i/>
                <w:sz w:val="20"/>
                <w:szCs w:val="16"/>
              </w:rPr>
              <w:t xml:space="preserve"> </w:t>
            </w:r>
            <w:r w:rsidR="008A2213">
              <w:rPr>
                <w:i/>
                <w:sz w:val="20"/>
                <w:szCs w:val="16"/>
              </w:rPr>
              <w:t>20</w:t>
            </w:r>
            <w:r>
              <w:rPr>
                <w:i/>
                <w:sz w:val="20"/>
                <w:szCs w:val="16"/>
              </w:rPr>
              <w:t>20</w:t>
            </w:r>
            <w:r w:rsidR="0039783E">
              <w:rPr>
                <w:i/>
                <w:sz w:val="20"/>
                <w:szCs w:val="16"/>
              </w:rPr>
              <w:tab/>
            </w:r>
            <w:r w:rsidR="00BC5ED0" w:rsidRPr="0039783E">
              <w:rPr>
                <w:sz w:val="20"/>
                <w:szCs w:val="16"/>
              </w:rPr>
              <w:tab/>
            </w:r>
            <w:r w:rsidR="00BC5ED0" w:rsidRPr="0039783E">
              <w:rPr>
                <w:sz w:val="20"/>
                <w:szCs w:val="16"/>
              </w:rPr>
              <w:tab/>
            </w:r>
            <w:r w:rsidR="00B546DE" w:rsidRPr="0039783E">
              <w:rPr>
                <w:sz w:val="20"/>
                <w:szCs w:val="16"/>
              </w:rPr>
              <w:tab/>
            </w:r>
            <w:r w:rsidR="00B546DE" w:rsidRPr="0039783E">
              <w:rPr>
                <w:sz w:val="20"/>
                <w:szCs w:val="16"/>
              </w:rPr>
              <w:tab/>
            </w:r>
            <w:r w:rsidR="00B546DE" w:rsidRPr="0039783E">
              <w:rPr>
                <w:sz w:val="20"/>
                <w:szCs w:val="16"/>
              </w:rPr>
              <w:tab/>
            </w:r>
            <w:r w:rsidR="00B546DE" w:rsidRPr="0039783E">
              <w:rPr>
                <w:sz w:val="20"/>
                <w:szCs w:val="16"/>
              </w:rPr>
              <w:tab/>
            </w:r>
          </w:sdtContent>
        </w:sdt>
      </w:sdtContent>
    </w:sdt>
    <w:sdt>
      <w:sdtPr>
        <w:rPr>
          <w:sz w:val="20"/>
          <w:szCs w:val="16"/>
        </w:rPr>
        <w:id w:val="-1757196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16"/>
            </w:rPr>
            <w:id w:val="-254977535"/>
            <w:docPartObj>
              <w:docPartGallery w:val="Page Numbers (Top of Page)"/>
              <w:docPartUnique/>
            </w:docPartObj>
          </w:sdtPr>
          <w:sdtEndPr/>
          <w:sdtContent>
            <w:r w:rsidR="00BC5ED0" w:rsidRPr="0039783E">
              <w:rPr>
                <w:sz w:val="20"/>
                <w:szCs w:val="16"/>
              </w:rPr>
              <w:t xml:space="preserve">Page </w:t>
            </w:r>
            <w:r w:rsidR="00BC5ED0" w:rsidRPr="0039783E">
              <w:rPr>
                <w:b/>
                <w:bCs/>
                <w:sz w:val="20"/>
                <w:szCs w:val="16"/>
              </w:rPr>
              <w:fldChar w:fldCharType="begin"/>
            </w:r>
            <w:r w:rsidR="00BC5ED0" w:rsidRPr="0039783E">
              <w:rPr>
                <w:b/>
                <w:bCs/>
                <w:sz w:val="20"/>
                <w:szCs w:val="16"/>
              </w:rPr>
              <w:instrText xml:space="preserve"> PAGE </w:instrText>
            </w:r>
            <w:r w:rsidR="00BC5ED0" w:rsidRPr="0039783E">
              <w:rPr>
                <w:b/>
                <w:bCs/>
                <w:sz w:val="20"/>
                <w:szCs w:val="16"/>
              </w:rPr>
              <w:fldChar w:fldCharType="separate"/>
            </w:r>
            <w:r w:rsidR="00F5763F">
              <w:rPr>
                <w:b/>
                <w:bCs/>
                <w:noProof/>
                <w:sz w:val="20"/>
                <w:szCs w:val="16"/>
              </w:rPr>
              <w:t>1</w:t>
            </w:r>
            <w:r w:rsidR="00BC5ED0" w:rsidRPr="0039783E">
              <w:rPr>
                <w:b/>
                <w:bCs/>
                <w:sz w:val="20"/>
                <w:szCs w:val="16"/>
              </w:rPr>
              <w:fldChar w:fldCharType="end"/>
            </w:r>
            <w:r w:rsidR="00BC5ED0" w:rsidRPr="0039783E">
              <w:rPr>
                <w:sz w:val="20"/>
                <w:szCs w:val="16"/>
              </w:rPr>
              <w:t xml:space="preserve"> of </w:t>
            </w:r>
            <w:r w:rsidR="00BC5ED0" w:rsidRPr="0039783E">
              <w:rPr>
                <w:b/>
                <w:bCs/>
                <w:sz w:val="20"/>
                <w:szCs w:val="16"/>
              </w:rPr>
              <w:fldChar w:fldCharType="begin"/>
            </w:r>
            <w:r w:rsidR="00BC5ED0" w:rsidRPr="0039783E">
              <w:rPr>
                <w:b/>
                <w:bCs/>
                <w:sz w:val="20"/>
                <w:szCs w:val="16"/>
              </w:rPr>
              <w:instrText xml:space="preserve"> NUMPAGES  </w:instrText>
            </w:r>
            <w:r w:rsidR="00BC5ED0" w:rsidRPr="0039783E">
              <w:rPr>
                <w:b/>
                <w:bCs/>
                <w:sz w:val="20"/>
                <w:szCs w:val="16"/>
              </w:rPr>
              <w:fldChar w:fldCharType="separate"/>
            </w:r>
            <w:r w:rsidR="00F5763F">
              <w:rPr>
                <w:b/>
                <w:bCs/>
                <w:noProof/>
                <w:sz w:val="20"/>
                <w:szCs w:val="16"/>
              </w:rPr>
              <w:t>2</w:t>
            </w:r>
            <w:r w:rsidR="00BC5ED0" w:rsidRPr="0039783E">
              <w:rPr>
                <w:b/>
                <w:bCs/>
                <w:sz w:val="20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5D0C9" w14:textId="77777777" w:rsidR="00140D1E" w:rsidRDefault="00140D1E" w:rsidP="00675777">
      <w:r>
        <w:separator/>
      </w:r>
    </w:p>
  </w:footnote>
  <w:footnote w:type="continuationSeparator" w:id="0">
    <w:p w14:paraId="0EB4D788" w14:textId="77777777" w:rsidR="00140D1E" w:rsidRDefault="00140D1E" w:rsidP="0067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97C2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2F41B7"/>
    <w:multiLevelType w:val="hybridMultilevel"/>
    <w:tmpl w:val="77A438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57E28"/>
    <w:multiLevelType w:val="hybridMultilevel"/>
    <w:tmpl w:val="52560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D5C4E"/>
    <w:multiLevelType w:val="hybridMultilevel"/>
    <w:tmpl w:val="DAEC53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0E3322"/>
    <w:multiLevelType w:val="hybridMultilevel"/>
    <w:tmpl w:val="28E05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B4EF4"/>
    <w:multiLevelType w:val="hybridMultilevel"/>
    <w:tmpl w:val="2B2EF0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6A0827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75FF4"/>
    <w:multiLevelType w:val="hybridMultilevel"/>
    <w:tmpl w:val="DAEC53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7C"/>
    <w:rsid w:val="000029BA"/>
    <w:rsid w:val="00002A49"/>
    <w:rsid w:val="000132F9"/>
    <w:rsid w:val="0001343B"/>
    <w:rsid w:val="00013A43"/>
    <w:rsid w:val="000220F8"/>
    <w:rsid w:val="00040F67"/>
    <w:rsid w:val="00075F3E"/>
    <w:rsid w:val="00081F7C"/>
    <w:rsid w:val="000829C3"/>
    <w:rsid w:val="00085DF6"/>
    <w:rsid w:val="00092D5D"/>
    <w:rsid w:val="00093CDF"/>
    <w:rsid w:val="000A1AAB"/>
    <w:rsid w:val="000B35F7"/>
    <w:rsid w:val="000B363B"/>
    <w:rsid w:val="000C325E"/>
    <w:rsid w:val="000C4C6E"/>
    <w:rsid w:val="000D064A"/>
    <w:rsid w:val="000D4A2C"/>
    <w:rsid w:val="000F2A1F"/>
    <w:rsid w:val="000F67CE"/>
    <w:rsid w:val="001006D3"/>
    <w:rsid w:val="00107BF1"/>
    <w:rsid w:val="00111156"/>
    <w:rsid w:val="00117B88"/>
    <w:rsid w:val="001200C6"/>
    <w:rsid w:val="00121231"/>
    <w:rsid w:val="00132670"/>
    <w:rsid w:val="001333A2"/>
    <w:rsid w:val="00140478"/>
    <w:rsid w:val="00140D1E"/>
    <w:rsid w:val="001502E0"/>
    <w:rsid w:val="00153452"/>
    <w:rsid w:val="0016037A"/>
    <w:rsid w:val="00162514"/>
    <w:rsid w:val="00164EF9"/>
    <w:rsid w:val="00175FCA"/>
    <w:rsid w:val="00182441"/>
    <w:rsid w:val="00192C92"/>
    <w:rsid w:val="0019617F"/>
    <w:rsid w:val="0019654F"/>
    <w:rsid w:val="00196B1F"/>
    <w:rsid w:val="001978DB"/>
    <w:rsid w:val="001A1C24"/>
    <w:rsid w:val="001A3E6D"/>
    <w:rsid w:val="001A44ED"/>
    <w:rsid w:val="001A661F"/>
    <w:rsid w:val="001C0572"/>
    <w:rsid w:val="001C0AA5"/>
    <w:rsid w:val="001D2475"/>
    <w:rsid w:val="001F3E5F"/>
    <w:rsid w:val="00203BFE"/>
    <w:rsid w:val="00205829"/>
    <w:rsid w:val="0021511B"/>
    <w:rsid w:val="00220DA2"/>
    <w:rsid w:val="0022427E"/>
    <w:rsid w:val="00237E5E"/>
    <w:rsid w:val="00245567"/>
    <w:rsid w:val="00257031"/>
    <w:rsid w:val="0027022F"/>
    <w:rsid w:val="00280798"/>
    <w:rsid w:val="002A11FF"/>
    <w:rsid w:val="002A292D"/>
    <w:rsid w:val="002A2C86"/>
    <w:rsid w:val="002B6592"/>
    <w:rsid w:val="002B7C88"/>
    <w:rsid w:val="002C1F08"/>
    <w:rsid w:val="002C68BB"/>
    <w:rsid w:val="002D0B78"/>
    <w:rsid w:val="002F5182"/>
    <w:rsid w:val="00304CF5"/>
    <w:rsid w:val="00311A36"/>
    <w:rsid w:val="00320DD2"/>
    <w:rsid w:val="00324386"/>
    <w:rsid w:val="00326251"/>
    <w:rsid w:val="0033433B"/>
    <w:rsid w:val="0034699A"/>
    <w:rsid w:val="003508A0"/>
    <w:rsid w:val="00356805"/>
    <w:rsid w:val="00365571"/>
    <w:rsid w:val="003658C9"/>
    <w:rsid w:val="00370BEC"/>
    <w:rsid w:val="00375265"/>
    <w:rsid w:val="003833C5"/>
    <w:rsid w:val="00387E25"/>
    <w:rsid w:val="0039783E"/>
    <w:rsid w:val="003A3A54"/>
    <w:rsid w:val="003B0CDE"/>
    <w:rsid w:val="003C3998"/>
    <w:rsid w:val="004020AB"/>
    <w:rsid w:val="00402F0C"/>
    <w:rsid w:val="004257DB"/>
    <w:rsid w:val="00434ADF"/>
    <w:rsid w:val="0044025A"/>
    <w:rsid w:val="00441DB9"/>
    <w:rsid w:val="0046567D"/>
    <w:rsid w:val="00471FC7"/>
    <w:rsid w:val="00472B14"/>
    <w:rsid w:val="00484815"/>
    <w:rsid w:val="00485641"/>
    <w:rsid w:val="004872BA"/>
    <w:rsid w:val="00487DB6"/>
    <w:rsid w:val="00492230"/>
    <w:rsid w:val="00492DDA"/>
    <w:rsid w:val="0049651A"/>
    <w:rsid w:val="004A49DC"/>
    <w:rsid w:val="004C3921"/>
    <w:rsid w:val="004D30F9"/>
    <w:rsid w:val="00507890"/>
    <w:rsid w:val="00510E25"/>
    <w:rsid w:val="00512973"/>
    <w:rsid w:val="005147C6"/>
    <w:rsid w:val="00516DEF"/>
    <w:rsid w:val="00521E36"/>
    <w:rsid w:val="00525F1D"/>
    <w:rsid w:val="005439BB"/>
    <w:rsid w:val="00544972"/>
    <w:rsid w:val="00546B5D"/>
    <w:rsid w:val="00573948"/>
    <w:rsid w:val="0059735B"/>
    <w:rsid w:val="005A11BF"/>
    <w:rsid w:val="005A1346"/>
    <w:rsid w:val="005A2DB9"/>
    <w:rsid w:val="005A4CD6"/>
    <w:rsid w:val="005C33C9"/>
    <w:rsid w:val="005C38B1"/>
    <w:rsid w:val="005C6059"/>
    <w:rsid w:val="005C7C03"/>
    <w:rsid w:val="00603F27"/>
    <w:rsid w:val="00605790"/>
    <w:rsid w:val="00606344"/>
    <w:rsid w:val="00612B4C"/>
    <w:rsid w:val="006133CF"/>
    <w:rsid w:val="00620FF4"/>
    <w:rsid w:val="00621FC2"/>
    <w:rsid w:val="0063441A"/>
    <w:rsid w:val="0064142A"/>
    <w:rsid w:val="006451FF"/>
    <w:rsid w:val="00647515"/>
    <w:rsid w:val="00657D7A"/>
    <w:rsid w:val="00660391"/>
    <w:rsid w:val="00663E46"/>
    <w:rsid w:val="00675777"/>
    <w:rsid w:val="006A2FFF"/>
    <w:rsid w:val="006A5E73"/>
    <w:rsid w:val="006B6D4B"/>
    <w:rsid w:val="006D67E1"/>
    <w:rsid w:val="006E6D9E"/>
    <w:rsid w:val="006E6EB8"/>
    <w:rsid w:val="006E704D"/>
    <w:rsid w:val="006E724B"/>
    <w:rsid w:val="006F0622"/>
    <w:rsid w:val="006F5808"/>
    <w:rsid w:val="00701BAA"/>
    <w:rsid w:val="0070415A"/>
    <w:rsid w:val="0070623E"/>
    <w:rsid w:val="00711FA2"/>
    <w:rsid w:val="007176DE"/>
    <w:rsid w:val="00720A31"/>
    <w:rsid w:val="00720DF3"/>
    <w:rsid w:val="007237CD"/>
    <w:rsid w:val="007252B6"/>
    <w:rsid w:val="00771CD9"/>
    <w:rsid w:val="0078123F"/>
    <w:rsid w:val="00786958"/>
    <w:rsid w:val="00793A91"/>
    <w:rsid w:val="007A127F"/>
    <w:rsid w:val="007A77E9"/>
    <w:rsid w:val="007B3F7F"/>
    <w:rsid w:val="007C11D4"/>
    <w:rsid w:val="007C22A6"/>
    <w:rsid w:val="007C3A0F"/>
    <w:rsid w:val="007C3C28"/>
    <w:rsid w:val="007D06B1"/>
    <w:rsid w:val="007D15E1"/>
    <w:rsid w:val="00801F17"/>
    <w:rsid w:val="0080543C"/>
    <w:rsid w:val="008104F8"/>
    <w:rsid w:val="00826B8B"/>
    <w:rsid w:val="00835465"/>
    <w:rsid w:val="00867AEC"/>
    <w:rsid w:val="00896396"/>
    <w:rsid w:val="008A0BAD"/>
    <w:rsid w:val="008A2213"/>
    <w:rsid w:val="008B2C15"/>
    <w:rsid w:val="008B3BC7"/>
    <w:rsid w:val="008B4C88"/>
    <w:rsid w:val="008D4077"/>
    <w:rsid w:val="00902646"/>
    <w:rsid w:val="00903C1B"/>
    <w:rsid w:val="00911D30"/>
    <w:rsid w:val="00912208"/>
    <w:rsid w:val="00927777"/>
    <w:rsid w:val="00934EA4"/>
    <w:rsid w:val="00935E81"/>
    <w:rsid w:val="00941CC6"/>
    <w:rsid w:val="00956DEC"/>
    <w:rsid w:val="0096041F"/>
    <w:rsid w:val="009630F3"/>
    <w:rsid w:val="00965FE6"/>
    <w:rsid w:val="00975CA7"/>
    <w:rsid w:val="009811F3"/>
    <w:rsid w:val="00984B94"/>
    <w:rsid w:val="009869FB"/>
    <w:rsid w:val="0099350E"/>
    <w:rsid w:val="009949FA"/>
    <w:rsid w:val="0099758B"/>
    <w:rsid w:val="009B6FCC"/>
    <w:rsid w:val="009D3BB7"/>
    <w:rsid w:val="009D4A96"/>
    <w:rsid w:val="009F6B5F"/>
    <w:rsid w:val="00A01155"/>
    <w:rsid w:val="00A1650E"/>
    <w:rsid w:val="00A20693"/>
    <w:rsid w:val="00A35DE8"/>
    <w:rsid w:val="00A35EF8"/>
    <w:rsid w:val="00A423F2"/>
    <w:rsid w:val="00A536C5"/>
    <w:rsid w:val="00A57741"/>
    <w:rsid w:val="00A63C01"/>
    <w:rsid w:val="00A643B3"/>
    <w:rsid w:val="00A64DEA"/>
    <w:rsid w:val="00A65146"/>
    <w:rsid w:val="00A90E4D"/>
    <w:rsid w:val="00A9232D"/>
    <w:rsid w:val="00A968DC"/>
    <w:rsid w:val="00AA6C88"/>
    <w:rsid w:val="00AB2E88"/>
    <w:rsid w:val="00AB49AE"/>
    <w:rsid w:val="00AB76C0"/>
    <w:rsid w:val="00AC5935"/>
    <w:rsid w:val="00AD477C"/>
    <w:rsid w:val="00AD5A9C"/>
    <w:rsid w:val="00AE10A4"/>
    <w:rsid w:val="00B00928"/>
    <w:rsid w:val="00B3272C"/>
    <w:rsid w:val="00B32968"/>
    <w:rsid w:val="00B33003"/>
    <w:rsid w:val="00B37BB1"/>
    <w:rsid w:val="00B468F6"/>
    <w:rsid w:val="00B546DE"/>
    <w:rsid w:val="00B55984"/>
    <w:rsid w:val="00B616BB"/>
    <w:rsid w:val="00B868BA"/>
    <w:rsid w:val="00B87612"/>
    <w:rsid w:val="00B9109B"/>
    <w:rsid w:val="00B92C53"/>
    <w:rsid w:val="00BB26C8"/>
    <w:rsid w:val="00BB4B77"/>
    <w:rsid w:val="00BB5C04"/>
    <w:rsid w:val="00BC1063"/>
    <w:rsid w:val="00BC4908"/>
    <w:rsid w:val="00BC5ED0"/>
    <w:rsid w:val="00BD430B"/>
    <w:rsid w:val="00BD666C"/>
    <w:rsid w:val="00BE19A7"/>
    <w:rsid w:val="00BE2171"/>
    <w:rsid w:val="00C009A7"/>
    <w:rsid w:val="00C077B4"/>
    <w:rsid w:val="00C2251E"/>
    <w:rsid w:val="00C24795"/>
    <w:rsid w:val="00C35D16"/>
    <w:rsid w:val="00C4138D"/>
    <w:rsid w:val="00C42387"/>
    <w:rsid w:val="00C61AE8"/>
    <w:rsid w:val="00C737A8"/>
    <w:rsid w:val="00C74EE2"/>
    <w:rsid w:val="00C83831"/>
    <w:rsid w:val="00C83A71"/>
    <w:rsid w:val="00C963AC"/>
    <w:rsid w:val="00C9758E"/>
    <w:rsid w:val="00CA3D25"/>
    <w:rsid w:val="00CA714A"/>
    <w:rsid w:val="00CA7A03"/>
    <w:rsid w:val="00CB5486"/>
    <w:rsid w:val="00CB6FF6"/>
    <w:rsid w:val="00CC2A08"/>
    <w:rsid w:val="00CD6E38"/>
    <w:rsid w:val="00CF25BA"/>
    <w:rsid w:val="00CF69C0"/>
    <w:rsid w:val="00D07803"/>
    <w:rsid w:val="00D13975"/>
    <w:rsid w:val="00D17539"/>
    <w:rsid w:val="00D27BF1"/>
    <w:rsid w:val="00D30DC1"/>
    <w:rsid w:val="00D30E27"/>
    <w:rsid w:val="00D40B57"/>
    <w:rsid w:val="00D4132E"/>
    <w:rsid w:val="00D45785"/>
    <w:rsid w:val="00D52300"/>
    <w:rsid w:val="00D52398"/>
    <w:rsid w:val="00D70A32"/>
    <w:rsid w:val="00D82E7A"/>
    <w:rsid w:val="00D95199"/>
    <w:rsid w:val="00D95DE3"/>
    <w:rsid w:val="00DC721F"/>
    <w:rsid w:val="00DD0D5C"/>
    <w:rsid w:val="00DD73DA"/>
    <w:rsid w:val="00DE35DB"/>
    <w:rsid w:val="00DE3B94"/>
    <w:rsid w:val="00E07A68"/>
    <w:rsid w:val="00E10E1E"/>
    <w:rsid w:val="00E127D8"/>
    <w:rsid w:val="00E15EA6"/>
    <w:rsid w:val="00E505D8"/>
    <w:rsid w:val="00E579B2"/>
    <w:rsid w:val="00E642D4"/>
    <w:rsid w:val="00E73F30"/>
    <w:rsid w:val="00E81AED"/>
    <w:rsid w:val="00E8465C"/>
    <w:rsid w:val="00E93D74"/>
    <w:rsid w:val="00EA3BF1"/>
    <w:rsid w:val="00EB1224"/>
    <w:rsid w:val="00EC3C78"/>
    <w:rsid w:val="00EC6469"/>
    <w:rsid w:val="00ED54BF"/>
    <w:rsid w:val="00EE7342"/>
    <w:rsid w:val="00EF28FD"/>
    <w:rsid w:val="00EF636E"/>
    <w:rsid w:val="00F11EB1"/>
    <w:rsid w:val="00F3336B"/>
    <w:rsid w:val="00F342A7"/>
    <w:rsid w:val="00F37C28"/>
    <w:rsid w:val="00F47ED0"/>
    <w:rsid w:val="00F5763F"/>
    <w:rsid w:val="00F64FB7"/>
    <w:rsid w:val="00F7104A"/>
    <w:rsid w:val="00F71129"/>
    <w:rsid w:val="00F728C2"/>
    <w:rsid w:val="00F80826"/>
    <w:rsid w:val="00F81549"/>
    <w:rsid w:val="00F844B2"/>
    <w:rsid w:val="00F903CD"/>
    <w:rsid w:val="00FB60D2"/>
    <w:rsid w:val="00FC1A50"/>
    <w:rsid w:val="00FC52DE"/>
    <w:rsid w:val="00FD5224"/>
    <w:rsid w:val="00FD60BF"/>
    <w:rsid w:val="00FD61F7"/>
    <w:rsid w:val="00FE2B58"/>
    <w:rsid w:val="00FF3117"/>
    <w:rsid w:val="00FF379C"/>
    <w:rsid w:val="00FF3D7F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1365183"/>
  <w15:docId w15:val="{D9B4A73F-7DE1-4217-91C0-EC195032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36C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3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536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536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BB5C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B5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4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95DE3"/>
    <w:rPr>
      <w:sz w:val="16"/>
      <w:szCs w:val="16"/>
    </w:rPr>
  </w:style>
  <w:style w:type="paragraph" w:styleId="CommentText">
    <w:name w:val="annotation text"/>
    <w:basedOn w:val="Normal"/>
    <w:semiHidden/>
    <w:rsid w:val="00D95DE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5DE3"/>
    <w:rPr>
      <w:b/>
      <w:bCs/>
    </w:rPr>
  </w:style>
  <w:style w:type="paragraph" w:styleId="BalloonText">
    <w:name w:val="Balloon Text"/>
    <w:basedOn w:val="Normal"/>
    <w:semiHidden/>
    <w:rsid w:val="00D95D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5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77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75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77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536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536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536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029BA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029B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29B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029BA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029B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4699A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B5C0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B5C0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F576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salisbury.edu/administration/academic-affairs/university-analysis-reporting-and-assessment/_files/Strategic_Plan_2020_25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alisbury.edu/discover-su/mission-valu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D4007A-C0D7-4F9E-B43A-44EABCDF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 APR Rubric</vt:lpstr>
    </vt:vector>
  </TitlesOfParts>
  <Company>JMU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APR Rubric</dc:title>
  <dc:creator>SEWINGER@salisbury.edu</dc:creator>
  <cp:lastModifiedBy>Sarah Winger</cp:lastModifiedBy>
  <cp:revision>2</cp:revision>
  <cp:lastPrinted>2016-09-02T18:50:00Z</cp:lastPrinted>
  <dcterms:created xsi:type="dcterms:W3CDTF">2020-07-19T15:34:00Z</dcterms:created>
  <dcterms:modified xsi:type="dcterms:W3CDTF">2020-07-19T15:34:00Z</dcterms:modified>
</cp:coreProperties>
</file>