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6834" w14:textId="77777777" w:rsidR="00FA4D47" w:rsidRPr="004A5F8B" w:rsidRDefault="00A63EEE" w:rsidP="00A63EEE">
      <w:pPr>
        <w:spacing w:after="0" w:line="240" w:lineRule="auto"/>
        <w:ind w:left="1440" w:firstLine="720"/>
        <w:rPr>
          <w:b/>
          <w:sz w:val="40"/>
          <w:szCs w:val="20"/>
          <w:u w:val="single"/>
        </w:rPr>
      </w:pPr>
      <w:r w:rsidRPr="004A5F8B">
        <w:rPr>
          <w:noProof/>
          <w:sz w:val="96"/>
          <w:szCs w:val="40"/>
        </w:rPr>
        <w:drawing>
          <wp:anchor distT="0" distB="0" distL="114300" distR="114300" simplePos="0" relativeHeight="251659264" behindDoc="1" locked="0" layoutInCell="1" allowOverlap="1" wp14:anchorId="6868D8FB" wp14:editId="1959062E">
            <wp:simplePos x="0" y="0"/>
            <wp:positionH relativeFrom="column">
              <wp:posOffset>0</wp:posOffset>
            </wp:positionH>
            <wp:positionV relativeFrom="paragraph">
              <wp:posOffset>-635</wp:posOffset>
            </wp:positionV>
            <wp:extent cx="1188720" cy="374742"/>
            <wp:effectExtent l="0" t="0" r="0" b="6350"/>
            <wp:wrapNone/>
            <wp:docPr id="9" name="Picture 9" descr="su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logo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374742"/>
                    </a:xfrm>
                    <a:prstGeom prst="rect">
                      <a:avLst/>
                    </a:prstGeom>
                    <a:noFill/>
                  </pic:spPr>
                </pic:pic>
              </a:graphicData>
            </a:graphic>
            <wp14:sizeRelH relativeFrom="page">
              <wp14:pctWidth>0</wp14:pctWidth>
            </wp14:sizeRelH>
            <wp14:sizeRelV relativeFrom="page">
              <wp14:pctHeight>0</wp14:pctHeight>
            </wp14:sizeRelV>
          </wp:anchor>
        </w:drawing>
      </w:r>
      <w:r w:rsidR="00FA4D47" w:rsidRPr="004A5F8B">
        <w:rPr>
          <w:b/>
          <w:sz w:val="40"/>
          <w:szCs w:val="20"/>
          <w:u w:val="single"/>
        </w:rPr>
        <w:t>Search and Selection</w:t>
      </w:r>
      <w:r w:rsidR="00D433BC" w:rsidRPr="004A5F8B">
        <w:rPr>
          <w:b/>
          <w:sz w:val="40"/>
          <w:szCs w:val="20"/>
          <w:u w:val="single"/>
        </w:rPr>
        <w:t>:</w:t>
      </w:r>
      <w:r w:rsidR="00FA4D47" w:rsidRPr="004A5F8B">
        <w:rPr>
          <w:b/>
          <w:sz w:val="40"/>
          <w:szCs w:val="20"/>
          <w:u w:val="single"/>
        </w:rPr>
        <w:t xml:space="preserve"> </w:t>
      </w:r>
      <w:r w:rsidR="00D433BC" w:rsidRPr="004A5F8B">
        <w:rPr>
          <w:b/>
          <w:sz w:val="40"/>
          <w:szCs w:val="20"/>
          <w:u w:val="single"/>
        </w:rPr>
        <w:t xml:space="preserve">Certification of </w:t>
      </w:r>
      <w:r w:rsidR="00FA4D47" w:rsidRPr="004A5F8B">
        <w:rPr>
          <w:b/>
          <w:sz w:val="40"/>
          <w:szCs w:val="20"/>
          <w:u w:val="single"/>
        </w:rPr>
        <w:t>Expectations</w:t>
      </w:r>
    </w:p>
    <w:p w14:paraId="39466144" w14:textId="77777777" w:rsidR="00D433BC" w:rsidRPr="003B543E" w:rsidRDefault="00D433BC" w:rsidP="00D433BC">
      <w:pPr>
        <w:spacing w:after="0" w:line="240" w:lineRule="auto"/>
        <w:rPr>
          <w:sz w:val="12"/>
          <w:szCs w:val="20"/>
        </w:rPr>
      </w:pPr>
    </w:p>
    <w:p w14:paraId="5C0E4764" w14:textId="45E6A09C" w:rsidR="00314BC0" w:rsidRPr="00947526" w:rsidRDefault="00364937" w:rsidP="00214B6E">
      <w:pPr>
        <w:spacing w:before="120" w:after="120" w:line="240" w:lineRule="auto"/>
        <w:jc w:val="both"/>
        <w:rPr>
          <w:b/>
          <w:sz w:val="21"/>
          <w:szCs w:val="21"/>
        </w:rPr>
      </w:pPr>
      <w:r w:rsidRPr="00947526">
        <w:rPr>
          <w:b/>
          <w:sz w:val="21"/>
          <w:szCs w:val="21"/>
        </w:rPr>
        <w:t xml:space="preserve">To empower a hiring manager </w:t>
      </w:r>
      <w:r w:rsidR="005813FD" w:rsidRPr="00947526">
        <w:rPr>
          <w:b/>
          <w:sz w:val="21"/>
          <w:szCs w:val="21"/>
        </w:rPr>
        <w:t xml:space="preserve">and </w:t>
      </w:r>
      <w:r w:rsidR="00246BFC" w:rsidRPr="00947526">
        <w:rPr>
          <w:b/>
          <w:sz w:val="21"/>
          <w:szCs w:val="21"/>
        </w:rPr>
        <w:t xml:space="preserve">search </w:t>
      </w:r>
      <w:r w:rsidR="005813FD" w:rsidRPr="00947526">
        <w:rPr>
          <w:b/>
          <w:sz w:val="21"/>
          <w:szCs w:val="21"/>
        </w:rPr>
        <w:t xml:space="preserve">committee chair </w:t>
      </w:r>
      <w:r w:rsidR="00246BFC" w:rsidRPr="00947526">
        <w:rPr>
          <w:b/>
          <w:sz w:val="21"/>
          <w:szCs w:val="21"/>
        </w:rPr>
        <w:t>(if applicable)</w:t>
      </w:r>
      <w:r w:rsidR="00B76925" w:rsidRPr="00947526">
        <w:rPr>
          <w:b/>
          <w:sz w:val="21"/>
          <w:szCs w:val="21"/>
        </w:rPr>
        <w:t xml:space="preserve"> </w:t>
      </w:r>
      <w:r w:rsidR="00655805" w:rsidRPr="00947526">
        <w:rPr>
          <w:b/>
          <w:sz w:val="21"/>
          <w:szCs w:val="21"/>
        </w:rPr>
        <w:t xml:space="preserve">engaged in </w:t>
      </w:r>
      <w:r w:rsidR="00246BFC" w:rsidRPr="00947526">
        <w:rPr>
          <w:b/>
          <w:sz w:val="21"/>
          <w:szCs w:val="21"/>
        </w:rPr>
        <w:t xml:space="preserve">the </w:t>
      </w:r>
      <w:r w:rsidR="00655805" w:rsidRPr="00947526">
        <w:rPr>
          <w:b/>
          <w:sz w:val="21"/>
          <w:szCs w:val="21"/>
        </w:rPr>
        <w:t xml:space="preserve">recruitment </w:t>
      </w:r>
      <w:r w:rsidR="00246BFC" w:rsidRPr="00947526">
        <w:rPr>
          <w:b/>
          <w:sz w:val="21"/>
          <w:szCs w:val="21"/>
        </w:rPr>
        <w:t xml:space="preserve">process </w:t>
      </w:r>
      <w:r w:rsidR="00655805" w:rsidRPr="00947526">
        <w:rPr>
          <w:b/>
          <w:sz w:val="21"/>
          <w:szCs w:val="21"/>
        </w:rPr>
        <w:t xml:space="preserve">for staff </w:t>
      </w:r>
      <w:r w:rsidR="00246BFC" w:rsidRPr="00947526">
        <w:rPr>
          <w:b/>
          <w:sz w:val="21"/>
          <w:szCs w:val="21"/>
        </w:rPr>
        <w:t xml:space="preserve">and/or faculty </w:t>
      </w:r>
      <w:r w:rsidR="00655805" w:rsidRPr="00947526">
        <w:rPr>
          <w:b/>
          <w:sz w:val="21"/>
          <w:szCs w:val="21"/>
        </w:rPr>
        <w:t xml:space="preserve">searches, </w:t>
      </w:r>
      <w:r w:rsidRPr="00947526">
        <w:rPr>
          <w:b/>
          <w:sz w:val="21"/>
          <w:szCs w:val="21"/>
        </w:rPr>
        <w:t xml:space="preserve">the </w:t>
      </w:r>
      <w:r w:rsidR="006038FD" w:rsidRPr="00947526">
        <w:rPr>
          <w:b/>
          <w:sz w:val="21"/>
          <w:szCs w:val="21"/>
        </w:rPr>
        <w:t xml:space="preserve">criteria </w:t>
      </w:r>
      <w:r w:rsidRPr="00947526">
        <w:rPr>
          <w:b/>
          <w:sz w:val="21"/>
          <w:szCs w:val="21"/>
        </w:rPr>
        <w:t>below is provided with respect to accountability in th</w:t>
      </w:r>
      <w:r w:rsidR="005813FD" w:rsidRPr="00947526">
        <w:rPr>
          <w:b/>
          <w:sz w:val="21"/>
          <w:szCs w:val="21"/>
        </w:rPr>
        <w:t>e</w:t>
      </w:r>
      <w:r w:rsidRPr="00947526">
        <w:rPr>
          <w:b/>
          <w:sz w:val="21"/>
          <w:szCs w:val="21"/>
        </w:rPr>
        <w:t>s</w:t>
      </w:r>
      <w:r w:rsidR="005813FD" w:rsidRPr="00947526">
        <w:rPr>
          <w:b/>
          <w:sz w:val="21"/>
          <w:szCs w:val="21"/>
        </w:rPr>
        <w:t>e</w:t>
      </w:r>
      <w:r w:rsidRPr="00947526">
        <w:rPr>
          <w:b/>
          <w:sz w:val="21"/>
          <w:szCs w:val="21"/>
        </w:rPr>
        <w:t xml:space="preserve"> </w:t>
      </w:r>
      <w:r w:rsidR="003B543E" w:rsidRPr="00947526">
        <w:rPr>
          <w:b/>
          <w:sz w:val="21"/>
          <w:szCs w:val="21"/>
        </w:rPr>
        <w:t>decision-making</w:t>
      </w:r>
      <w:r w:rsidR="005E4B44" w:rsidRPr="00947526">
        <w:rPr>
          <w:b/>
          <w:sz w:val="21"/>
          <w:szCs w:val="21"/>
        </w:rPr>
        <w:t xml:space="preserve"> role</w:t>
      </w:r>
      <w:r w:rsidR="005813FD" w:rsidRPr="00947526">
        <w:rPr>
          <w:b/>
          <w:sz w:val="21"/>
          <w:szCs w:val="21"/>
        </w:rPr>
        <w:t>s</w:t>
      </w:r>
      <w:r w:rsidRPr="00947526">
        <w:rPr>
          <w:b/>
          <w:sz w:val="21"/>
          <w:szCs w:val="21"/>
        </w:rPr>
        <w:t xml:space="preserve">. </w:t>
      </w:r>
      <w:r w:rsidR="00B76925" w:rsidRPr="00947526">
        <w:rPr>
          <w:b/>
          <w:sz w:val="21"/>
          <w:szCs w:val="21"/>
        </w:rPr>
        <w:t>Both</w:t>
      </w:r>
      <w:r w:rsidRPr="00947526">
        <w:rPr>
          <w:b/>
          <w:sz w:val="21"/>
          <w:szCs w:val="21"/>
        </w:rPr>
        <w:t xml:space="preserve"> </w:t>
      </w:r>
      <w:r w:rsidR="00B76925" w:rsidRPr="00947526">
        <w:rPr>
          <w:b/>
          <w:sz w:val="21"/>
          <w:szCs w:val="21"/>
        </w:rPr>
        <w:t>role</w:t>
      </w:r>
      <w:r w:rsidR="006038FD" w:rsidRPr="00947526">
        <w:rPr>
          <w:b/>
          <w:sz w:val="21"/>
          <w:szCs w:val="21"/>
        </w:rPr>
        <w:t xml:space="preserve">s </w:t>
      </w:r>
      <w:r w:rsidR="00314BC0" w:rsidRPr="00947526">
        <w:rPr>
          <w:b/>
          <w:sz w:val="21"/>
          <w:szCs w:val="21"/>
        </w:rPr>
        <w:t xml:space="preserve">are expected to </w:t>
      </w:r>
      <w:r w:rsidR="00D433BC" w:rsidRPr="00947526">
        <w:rPr>
          <w:b/>
          <w:sz w:val="21"/>
          <w:szCs w:val="21"/>
        </w:rPr>
        <w:t xml:space="preserve">adhere to </w:t>
      </w:r>
      <w:r w:rsidRPr="00947526">
        <w:rPr>
          <w:b/>
          <w:sz w:val="21"/>
          <w:szCs w:val="21"/>
        </w:rPr>
        <w:t xml:space="preserve">and ensure any persons involved in the process </w:t>
      </w:r>
      <w:r w:rsidR="00314BC0" w:rsidRPr="00947526">
        <w:rPr>
          <w:b/>
          <w:sz w:val="21"/>
          <w:szCs w:val="21"/>
        </w:rPr>
        <w:t>follow</w:t>
      </w:r>
      <w:r w:rsidRPr="00947526">
        <w:rPr>
          <w:b/>
          <w:sz w:val="21"/>
          <w:szCs w:val="21"/>
        </w:rPr>
        <w:t xml:space="preserve"> the</w:t>
      </w:r>
      <w:r w:rsidR="00D433BC" w:rsidRPr="00947526">
        <w:rPr>
          <w:b/>
          <w:sz w:val="21"/>
          <w:szCs w:val="21"/>
        </w:rPr>
        <w:t xml:space="preserve"> practices, rules and procedures as prescribed</w:t>
      </w:r>
      <w:r w:rsidR="00314BC0" w:rsidRPr="00947526">
        <w:rPr>
          <w:b/>
          <w:sz w:val="21"/>
          <w:szCs w:val="21"/>
        </w:rPr>
        <w:t>:</w:t>
      </w:r>
    </w:p>
    <w:p w14:paraId="6304843A" w14:textId="6E040949" w:rsidR="00314BC0" w:rsidRDefault="00314BC0" w:rsidP="003B543E">
      <w:pPr>
        <w:pStyle w:val="ListParagraph"/>
        <w:numPr>
          <w:ilvl w:val="0"/>
          <w:numId w:val="1"/>
        </w:numPr>
        <w:spacing w:after="120" w:line="240" w:lineRule="auto"/>
        <w:ind w:left="180" w:hanging="180"/>
        <w:jc w:val="both"/>
      </w:pPr>
      <w:r w:rsidRPr="00214B6E">
        <w:t xml:space="preserve">Adhere to </w:t>
      </w:r>
      <w:r w:rsidR="00126F91" w:rsidRPr="00214B6E">
        <w:t xml:space="preserve">all </w:t>
      </w:r>
      <w:r w:rsidRPr="00214B6E">
        <w:t>Federal and State Equal Opportunity laws and guidelines</w:t>
      </w:r>
      <w:r w:rsidR="00126F91" w:rsidRPr="00214B6E">
        <w:t>,</w:t>
      </w:r>
      <w:r w:rsidRPr="00214B6E">
        <w:t xml:space="preserve"> as well as SU’s policies on EEO and Affirmative Action </w:t>
      </w:r>
      <w:bookmarkStart w:id="0" w:name="_GoBack"/>
      <w:bookmarkEnd w:id="0"/>
      <w:r w:rsidRPr="00214B6E">
        <w:t>and non-discrimination.</w:t>
      </w:r>
      <w:r w:rsidR="00364937" w:rsidRPr="00214B6E">
        <w:t xml:space="preserve"> (link:</w:t>
      </w:r>
      <w:r w:rsidR="00A41502" w:rsidRPr="00214B6E">
        <w:t xml:space="preserve"> </w:t>
      </w:r>
      <w:hyperlink r:id="rId9" w:history="1">
        <w:r w:rsidR="00236A82" w:rsidRPr="00214B6E">
          <w:rPr>
            <w:rStyle w:val="Hyperlink"/>
          </w:rPr>
          <w:t>http://www.salisbury.edu/equity/eoaa/index.html</w:t>
        </w:r>
      </w:hyperlink>
      <w:r w:rsidR="005F6520" w:rsidRPr="00214B6E">
        <w:t>)</w:t>
      </w:r>
    </w:p>
    <w:p w14:paraId="4F2EBF54" w14:textId="2FA66EF8" w:rsidR="003B543E" w:rsidRDefault="00786A6D" w:rsidP="003B543E">
      <w:pPr>
        <w:pStyle w:val="ListParagraph"/>
        <w:numPr>
          <w:ilvl w:val="0"/>
          <w:numId w:val="1"/>
        </w:numPr>
        <w:spacing w:after="120" w:line="240" w:lineRule="auto"/>
        <w:ind w:left="180" w:hanging="180"/>
      </w:pPr>
      <w:r>
        <w:t>Adhere to all requirements set forth in the Maryland Equal Pay for Equal Work Law</w:t>
      </w:r>
      <w:r w:rsidR="00BF63BD">
        <w:t>,</w:t>
      </w:r>
      <w:r>
        <w:t xml:space="preserve"> including but not limited to: </w:t>
      </w:r>
    </w:p>
    <w:p w14:paraId="2BE537D2" w14:textId="21F500DC" w:rsidR="00786A6D" w:rsidRPr="003B543E" w:rsidRDefault="00786A6D" w:rsidP="003B543E">
      <w:pPr>
        <w:pStyle w:val="ListParagraph"/>
        <w:numPr>
          <w:ilvl w:val="1"/>
          <w:numId w:val="1"/>
        </w:numPr>
        <w:spacing w:after="120" w:line="240" w:lineRule="auto"/>
        <w:rPr>
          <w:sz w:val="20"/>
        </w:rPr>
      </w:pPr>
      <w:r w:rsidRPr="003B543E">
        <w:rPr>
          <w:sz w:val="20"/>
        </w:rPr>
        <w:t xml:space="preserve">On request, provide an applicant for the wage range for the position for which the applicant applied; </w:t>
      </w:r>
      <w:r w:rsidR="00FD4E19" w:rsidRPr="003B543E">
        <w:rPr>
          <w:sz w:val="20"/>
        </w:rPr>
        <w:t xml:space="preserve">an employer may not: (I) Retaliate against or refuse to interview, hire, or employ an applicant for employment because the applicant: 1. Did not provide wage history; 2. If the applicants requested a wage range for the position in which they applied.  (II) 1. Rely on the wage history of an applicant for employment in screening or considering the applicant for employment or in determining the wages for the applicant; or 2. Seek the wage history for an applicant for employment orally, in writing, or through an employee or an agent or from a current or former employer. (link: </w:t>
      </w:r>
      <w:r w:rsidR="003B543E" w:rsidRPr="003B543E">
        <w:rPr>
          <w:sz w:val="20"/>
        </w:rPr>
        <w:t xml:space="preserve"> </w:t>
      </w:r>
      <w:hyperlink r:id="rId10" w:history="1">
        <w:r w:rsidR="00FD4E19" w:rsidRPr="003B543E">
          <w:rPr>
            <w:rStyle w:val="Hyperlink"/>
            <w:sz w:val="20"/>
          </w:rPr>
          <w:t>https://www.salisbury.edu/administration/administration-and-finance-offices/human-resources/current-employees/_files/employment-poster-bulletin-board/maryland-equal-pay-for-equal-work.pdf</w:t>
        </w:r>
      </w:hyperlink>
      <w:r w:rsidR="00FD4E19" w:rsidRPr="003B543E">
        <w:rPr>
          <w:sz w:val="20"/>
        </w:rPr>
        <w:t xml:space="preserve">) </w:t>
      </w:r>
    </w:p>
    <w:p w14:paraId="3F5198E9" w14:textId="77777777" w:rsidR="005813FD" w:rsidRPr="00214B6E" w:rsidRDefault="005813FD" w:rsidP="003B543E">
      <w:pPr>
        <w:pStyle w:val="ListParagraph"/>
        <w:numPr>
          <w:ilvl w:val="0"/>
          <w:numId w:val="1"/>
        </w:numPr>
        <w:spacing w:after="0" w:line="240" w:lineRule="auto"/>
        <w:ind w:left="180" w:hanging="180"/>
        <w:jc w:val="both"/>
      </w:pPr>
      <w:r w:rsidRPr="00214B6E">
        <w:t>The goal of each search is to identify the most qualified candidate in a fair and equitable manner:</w:t>
      </w:r>
    </w:p>
    <w:p w14:paraId="3863F571" w14:textId="77777777" w:rsidR="00B215EA" w:rsidRPr="00214B6E" w:rsidRDefault="00E26A07" w:rsidP="003B543E">
      <w:pPr>
        <w:pStyle w:val="ListParagraph"/>
        <w:numPr>
          <w:ilvl w:val="1"/>
          <w:numId w:val="1"/>
        </w:numPr>
        <w:spacing w:after="0" w:line="240" w:lineRule="auto"/>
        <w:ind w:left="630"/>
      </w:pPr>
      <w:r w:rsidRPr="00214B6E">
        <w:t>Focus o</w:t>
      </w:r>
      <w:r w:rsidR="004A5F8B" w:rsidRPr="00214B6E">
        <w:t>nly o</w:t>
      </w:r>
      <w:r w:rsidRPr="00214B6E">
        <w:t>n relevant job duties and responsibilities</w:t>
      </w:r>
      <w:r w:rsidR="004A5F8B" w:rsidRPr="00214B6E">
        <w:t>. Ask only</w:t>
      </w:r>
      <w:r w:rsidRPr="00214B6E">
        <w:t xml:space="preserve"> job related questions. R</w:t>
      </w:r>
      <w:r w:rsidR="00B215EA" w:rsidRPr="00214B6E">
        <w:t xml:space="preserve">efrain from </w:t>
      </w:r>
      <w:r w:rsidR="00364937" w:rsidRPr="00214B6E">
        <w:t xml:space="preserve">participating in any sensitive, discriminatory personal discussions with applicants and/or </w:t>
      </w:r>
      <w:r w:rsidR="00B215EA" w:rsidRPr="00214B6E">
        <w:t>using any personal or discriminatory information or bias in the decision making process</w:t>
      </w:r>
      <w:r w:rsidR="00364937" w:rsidRPr="00214B6E">
        <w:t>. This</w:t>
      </w:r>
      <w:r w:rsidR="00B215EA" w:rsidRPr="00214B6E">
        <w:t xml:space="preserve"> includ</w:t>
      </w:r>
      <w:r w:rsidR="00364937" w:rsidRPr="00214B6E">
        <w:t>es</w:t>
      </w:r>
      <w:r w:rsidR="00B215EA" w:rsidRPr="00214B6E">
        <w:t xml:space="preserve"> but not limited to information related to </w:t>
      </w:r>
      <w:r w:rsidR="00236A82" w:rsidRPr="00214B6E">
        <w:rPr>
          <w:lang w:val="en"/>
        </w:rPr>
        <w:t>sex, gender, marital status, pregnancy, race, color, ethnicity, national origin, age, disability, genetic information, religion, sexual orientation, gender identity or expression, veteran status, or other legally protected characteristics</w:t>
      </w:r>
      <w:r w:rsidR="00B215EA" w:rsidRPr="00214B6E">
        <w:t>.</w:t>
      </w:r>
    </w:p>
    <w:p w14:paraId="6DCBBEDF" w14:textId="6F686291" w:rsidR="00314BC0" w:rsidRPr="00214B6E" w:rsidRDefault="00314BC0" w:rsidP="003B543E">
      <w:pPr>
        <w:pStyle w:val="ListParagraph"/>
        <w:numPr>
          <w:ilvl w:val="1"/>
          <w:numId w:val="1"/>
        </w:numPr>
        <w:spacing w:after="0" w:line="240" w:lineRule="auto"/>
        <w:ind w:left="630"/>
      </w:pPr>
      <w:r w:rsidRPr="00214B6E">
        <w:t>Follow a fair</w:t>
      </w:r>
      <w:r w:rsidR="004A5F8B" w:rsidRPr="00214B6E">
        <w:t xml:space="preserve">, </w:t>
      </w:r>
      <w:r w:rsidRPr="00214B6E">
        <w:t>consistent</w:t>
      </w:r>
      <w:r w:rsidR="004A5F8B" w:rsidRPr="00214B6E">
        <w:t>, and structured</w:t>
      </w:r>
      <w:r w:rsidRPr="00214B6E">
        <w:t xml:space="preserve"> screening process</w:t>
      </w:r>
      <w:r w:rsidR="004A5F8B" w:rsidRPr="00214B6E">
        <w:t>,</w:t>
      </w:r>
      <w:r w:rsidRPr="00214B6E">
        <w:t xml:space="preserve"> </w:t>
      </w:r>
      <w:r w:rsidR="0067765B" w:rsidRPr="00214B6E">
        <w:t>including a</w:t>
      </w:r>
      <w:r w:rsidRPr="00214B6E">
        <w:t>pply</w:t>
      </w:r>
      <w:r w:rsidR="0067765B" w:rsidRPr="00214B6E">
        <w:t>ing</w:t>
      </w:r>
      <w:r w:rsidRPr="00214B6E">
        <w:t xml:space="preserve"> </w:t>
      </w:r>
      <w:r w:rsidR="00126F91" w:rsidRPr="00214B6E">
        <w:t xml:space="preserve">appropriate </w:t>
      </w:r>
      <w:r w:rsidR="0067765B" w:rsidRPr="00214B6E">
        <w:t xml:space="preserve">job </w:t>
      </w:r>
      <w:r w:rsidRPr="00214B6E">
        <w:t>criteria equally to a</w:t>
      </w:r>
      <w:r w:rsidR="0067765B" w:rsidRPr="00214B6E">
        <w:t>ll applicants who are considered</w:t>
      </w:r>
      <w:r w:rsidR="00126F91" w:rsidRPr="00214B6E">
        <w:t>;</w:t>
      </w:r>
      <w:r w:rsidR="0067765B" w:rsidRPr="00214B6E">
        <w:t xml:space="preserve"> interviewing all candidates using </w:t>
      </w:r>
      <w:r w:rsidR="00126F91" w:rsidRPr="00214B6E">
        <w:t>equivalent</w:t>
      </w:r>
      <w:r w:rsidR="0067765B" w:rsidRPr="00214B6E">
        <w:t xml:space="preserve"> </w:t>
      </w:r>
      <w:r w:rsidR="004A5F8B" w:rsidRPr="00214B6E">
        <w:t xml:space="preserve">and consistent </w:t>
      </w:r>
      <w:r w:rsidR="0067765B" w:rsidRPr="00214B6E">
        <w:t>method</w:t>
      </w:r>
      <w:r w:rsidR="00126F91" w:rsidRPr="00214B6E">
        <w:t>s</w:t>
      </w:r>
      <w:r w:rsidR="0067765B" w:rsidRPr="00214B6E">
        <w:t xml:space="preserve"> (</w:t>
      </w:r>
      <w:r w:rsidR="00DA703C">
        <w:t>virtual</w:t>
      </w:r>
      <w:r w:rsidR="0067765B" w:rsidRPr="00214B6E">
        <w:t xml:space="preserve">, phone, in-person) and asking the </w:t>
      </w:r>
      <w:r w:rsidR="00126F91" w:rsidRPr="00214B6E">
        <w:t>same</w:t>
      </w:r>
      <w:r w:rsidR="0067765B" w:rsidRPr="00214B6E">
        <w:t xml:space="preserve"> interview questions of all candidates</w:t>
      </w:r>
      <w:r w:rsidR="00126F91" w:rsidRPr="00214B6E">
        <w:t xml:space="preserve"> (excluding follow-up or exploratory questions).</w:t>
      </w:r>
    </w:p>
    <w:p w14:paraId="3C667483" w14:textId="77777777" w:rsidR="00B215EA" w:rsidRPr="00214B6E" w:rsidRDefault="00B215EA" w:rsidP="003B543E">
      <w:pPr>
        <w:pStyle w:val="ListParagraph"/>
        <w:numPr>
          <w:ilvl w:val="1"/>
          <w:numId w:val="1"/>
        </w:numPr>
        <w:spacing w:after="0" w:line="240" w:lineRule="auto"/>
        <w:ind w:left="630"/>
      </w:pPr>
      <w:r w:rsidRPr="00214B6E">
        <w:t xml:space="preserve">Give equal consideration to all </w:t>
      </w:r>
      <w:r w:rsidR="005813FD" w:rsidRPr="00214B6E">
        <w:t xml:space="preserve">qualified </w:t>
      </w:r>
      <w:r w:rsidRPr="00214B6E">
        <w:t>applicants regardless of their affiliation or lack thereof to S</w:t>
      </w:r>
      <w:r w:rsidR="005813FD" w:rsidRPr="00214B6E">
        <w:t>U</w:t>
      </w:r>
      <w:r w:rsidRPr="00214B6E">
        <w:t>.</w:t>
      </w:r>
    </w:p>
    <w:p w14:paraId="4190970A" w14:textId="77777777" w:rsidR="00D90F0B" w:rsidRPr="00214B6E" w:rsidRDefault="00D90F0B" w:rsidP="003B543E">
      <w:pPr>
        <w:pStyle w:val="ListParagraph"/>
        <w:numPr>
          <w:ilvl w:val="1"/>
          <w:numId w:val="1"/>
        </w:numPr>
        <w:spacing w:after="0" w:line="240" w:lineRule="auto"/>
        <w:ind w:left="630"/>
      </w:pPr>
      <w:r w:rsidRPr="00214B6E">
        <w:t>Ensure all applicants advanced to candidate meet the minimum qualifications.</w:t>
      </w:r>
    </w:p>
    <w:p w14:paraId="62FF1F1E" w14:textId="77777777" w:rsidR="00B215EA" w:rsidRPr="00214B6E" w:rsidRDefault="00B215EA" w:rsidP="003B543E">
      <w:pPr>
        <w:pStyle w:val="ListParagraph"/>
        <w:numPr>
          <w:ilvl w:val="0"/>
          <w:numId w:val="1"/>
        </w:numPr>
        <w:spacing w:after="0" w:line="240" w:lineRule="auto"/>
        <w:ind w:left="180" w:hanging="180"/>
        <w:jc w:val="both"/>
      </w:pPr>
      <w:r w:rsidRPr="00214B6E">
        <w:t xml:space="preserve">Maintain </w:t>
      </w:r>
      <w:r w:rsidR="00126F91" w:rsidRPr="00214B6E">
        <w:t xml:space="preserve">utmost </w:t>
      </w:r>
      <w:r w:rsidRPr="00214B6E">
        <w:t>confidentiality and only discuss the search status and details with th</w:t>
      </w:r>
      <w:r w:rsidR="00126F91" w:rsidRPr="00214B6E">
        <w:t xml:space="preserve">ose on the search committee or with </w:t>
      </w:r>
      <w:r w:rsidRPr="00214B6E">
        <w:t>departmental management</w:t>
      </w:r>
      <w:r w:rsidR="00126F91" w:rsidRPr="00214B6E">
        <w:t xml:space="preserve"> as needed, p</w:t>
      </w:r>
      <w:r w:rsidR="003D0368" w:rsidRPr="00214B6E">
        <w:t>a</w:t>
      </w:r>
      <w:r w:rsidR="00126F91" w:rsidRPr="00214B6E">
        <w:t>r</w:t>
      </w:r>
      <w:r w:rsidR="003D0368" w:rsidRPr="00214B6E">
        <w:t>ticularly</w:t>
      </w:r>
      <w:r w:rsidR="00126F91" w:rsidRPr="00214B6E">
        <w:t xml:space="preserve"> in reference to </w:t>
      </w:r>
      <w:r w:rsidRPr="00214B6E">
        <w:t>internal applicants.</w:t>
      </w:r>
    </w:p>
    <w:p w14:paraId="70599C7C" w14:textId="10057461" w:rsidR="000831A6" w:rsidRPr="00214B6E" w:rsidRDefault="000831A6" w:rsidP="003B543E">
      <w:pPr>
        <w:pStyle w:val="ListParagraph"/>
        <w:numPr>
          <w:ilvl w:val="0"/>
          <w:numId w:val="1"/>
        </w:numPr>
        <w:spacing w:after="0" w:line="240" w:lineRule="auto"/>
        <w:ind w:left="180" w:hanging="180"/>
        <w:jc w:val="both"/>
      </w:pPr>
      <w:r w:rsidRPr="00214B6E">
        <w:t>Complete all required forms including</w:t>
      </w:r>
      <w:r w:rsidR="004A5F8B" w:rsidRPr="00214B6E">
        <w:t>:</w:t>
      </w:r>
      <w:r w:rsidRPr="00214B6E">
        <w:t xml:space="preserve"> </w:t>
      </w:r>
      <w:r w:rsidR="00126F91" w:rsidRPr="00214B6E">
        <w:t xml:space="preserve">(1) </w:t>
      </w:r>
      <w:r w:rsidR="004A5F8B" w:rsidRPr="00214B6E">
        <w:t xml:space="preserve">a </w:t>
      </w:r>
      <w:r w:rsidR="005E4B44" w:rsidRPr="00214B6E">
        <w:t>q</w:t>
      </w:r>
      <w:r w:rsidRPr="00214B6E">
        <w:t xml:space="preserve">ualification spreadsheet, </w:t>
      </w:r>
      <w:r w:rsidR="00126F91" w:rsidRPr="00214B6E">
        <w:t xml:space="preserve">(2) </w:t>
      </w:r>
      <w:r w:rsidR="004A5F8B" w:rsidRPr="00214B6E">
        <w:t xml:space="preserve">an </w:t>
      </w:r>
      <w:r w:rsidRPr="00214B6E">
        <w:t xml:space="preserve">interview question form </w:t>
      </w:r>
      <w:r w:rsidR="004A5F8B" w:rsidRPr="00214B6E">
        <w:t xml:space="preserve">for consistent </w:t>
      </w:r>
      <w:r w:rsidR="005E4B44" w:rsidRPr="00214B6E">
        <w:t>document</w:t>
      </w:r>
      <w:r w:rsidR="004A5F8B" w:rsidRPr="00214B6E">
        <w:t>ation</w:t>
      </w:r>
      <w:r w:rsidR="005E4B44" w:rsidRPr="00214B6E">
        <w:t xml:space="preserve"> </w:t>
      </w:r>
      <w:r w:rsidRPr="00214B6E">
        <w:t>with notes on interview</w:t>
      </w:r>
      <w:r w:rsidR="00E47378" w:rsidRPr="00214B6E">
        <w:t>ee</w:t>
      </w:r>
      <w:r w:rsidRPr="00214B6E">
        <w:t xml:space="preserve"> responses, </w:t>
      </w:r>
      <w:r w:rsidR="004F7116" w:rsidRPr="00214B6E">
        <w:t xml:space="preserve">and </w:t>
      </w:r>
      <w:r w:rsidR="00126F91" w:rsidRPr="00214B6E">
        <w:t xml:space="preserve">(3) </w:t>
      </w:r>
      <w:r w:rsidR="004A5F8B" w:rsidRPr="00214B6E">
        <w:t xml:space="preserve">a </w:t>
      </w:r>
      <w:r w:rsidRPr="00214B6E">
        <w:t>candidate assessment form</w:t>
      </w:r>
      <w:r w:rsidR="004F7116" w:rsidRPr="00214B6E">
        <w:t xml:space="preserve"> after</w:t>
      </w:r>
      <w:r w:rsidRPr="00214B6E">
        <w:t xml:space="preserve"> each interview</w:t>
      </w:r>
      <w:r w:rsidR="004F7116" w:rsidRPr="00214B6E">
        <w:t>.</w:t>
      </w:r>
      <w:r w:rsidR="00B215EA" w:rsidRPr="00214B6E">
        <w:t xml:space="preserve"> The qualification spreadsheet should document the assessment </w:t>
      </w:r>
      <w:r w:rsidR="004A5F8B" w:rsidRPr="00214B6E">
        <w:t>of</w:t>
      </w:r>
      <w:r w:rsidR="00B215EA" w:rsidRPr="00214B6E">
        <w:t xml:space="preserve"> all applicants who were considered against the minimum and preferred qualifications for the position.</w:t>
      </w:r>
    </w:p>
    <w:p w14:paraId="38D5320A" w14:textId="77777777" w:rsidR="00795AA2" w:rsidRPr="00214B6E" w:rsidRDefault="00111E7C" w:rsidP="003B543E">
      <w:pPr>
        <w:pStyle w:val="ListParagraph"/>
        <w:numPr>
          <w:ilvl w:val="0"/>
          <w:numId w:val="1"/>
        </w:numPr>
        <w:spacing w:after="0" w:line="240" w:lineRule="auto"/>
        <w:ind w:left="180" w:hanging="180"/>
        <w:jc w:val="both"/>
      </w:pPr>
      <w:r w:rsidRPr="00214B6E">
        <w:t xml:space="preserve">Utilize </w:t>
      </w:r>
      <w:r w:rsidR="004A5F8B" w:rsidRPr="00214B6E">
        <w:t xml:space="preserve">a fair, consistent and structured </w:t>
      </w:r>
      <w:r w:rsidRPr="00214B6E">
        <w:t>committee voting and interview process as follows:</w:t>
      </w:r>
    </w:p>
    <w:p w14:paraId="65ED802C" w14:textId="77777777" w:rsidR="00D433BC" w:rsidRPr="00214B6E" w:rsidRDefault="00D433BC" w:rsidP="003B543E">
      <w:pPr>
        <w:pStyle w:val="ListParagraph"/>
        <w:spacing w:after="0" w:line="240" w:lineRule="auto"/>
        <w:ind w:left="180"/>
        <w:jc w:val="both"/>
        <w:rPr>
          <w:sz w:val="16"/>
          <w:szCs w:val="16"/>
        </w:rPr>
      </w:pPr>
    </w:p>
    <w:tbl>
      <w:tblPr>
        <w:tblStyle w:val="TableGrid"/>
        <w:tblW w:w="0" w:type="auto"/>
        <w:tblInd w:w="180" w:type="dxa"/>
        <w:tblBorders>
          <w:left w:val="none" w:sz="0" w:space="0" w:color="auto"/>
          <w:right w:val="none" w:sz="0" w:space="0" w:color="auto"/>
        </w:tblBorders>
        <w:tblLook w:val="04A0" w:firstRow="1" w:lastRow="0" w:firstColumn="1" w:lastColumn="0" w:noHBand="0" w:noVBand="1"/>
      </w:tblPr>
      <w:tblGrid>
        <w:gridCol w:w="10332"/>
      </w:tblGrid>
      <w:tr w:rsidR="00D433BC" w:rsidRPr="00B76925" w14:paraId="378DE8B0" w14:textId="77777777" w:rsidTr="00D433BC">
        <w:trPr>
          <w:trHeight w:val="350"/>
        </w:trPr>
        <w:tc>
          <w:tcPr>
            <w:tcW w:w="10332" w:type="dxa"/>
          </w:tcPr>
          <w:p w14:paraId="635B1051" w14:textId="77777777" w:rsidR="00D433BC" w:rsidRPr="00214B6E" w:rsidRDefault="00D433BC" w:rsidP="003B543E">
            <w:pPr>
              <w:pStyle w:val="ListParagraph"/>
              <w:ind w:left="0"/>
              <w:jc w:val="both"/>
              <w:rPr>
                <w:sz w:val="16"/>
                <w:szCs w:val="16"/>
              </w:rPr>
            </w:pPr>
          </w:p>
        </w:tc>
      </w:tr>
    </w:tbl>
    <w:p w14:paraId="4A760824" w14:textId="77777777" w:rsidR="00D433BC" w:rsidRPr="003B543E" w:rsidRDefault="00D433BC" w:rsidP="003B543E">
      <w:pPr>
        <w:spacing w:after="0" w:line="240" w:lineRule="auto"/>
        <w:jc w:val="both"/>
        <w:rPr>
          <w:sz w:val="2"/>
          <w:szCs w:val="16"/>
        </w:rPr>
      </w:pPr>
    </w:p>
    <w:p w14:paraId="2D232844" w14:textId="17D5C5DE" w:rsidR="004F7116" w:rsidRPr="00214B6E" w:rsidRDefault="004F7116" w:rsidP="003B543E">
      <w:pPr>
        <w:pStyle w:val="ListParagraph"/>
        <w:numPr>
          <w:ilvl w:val="0"/>
          <w:numId w:val="1"/>
        </w:numPr>
        <w:spacing w:after="0" w:line="240" w:lineRule="auto"/>
        <w:ind w:left="180" w:hanging="180"/>
        <w:jc w:val="both"/>
      </w:pPr>
      <w:r w:rsidRPr="00214B6E">
        <w:t xml:space="preserve">Retain all documentation related to the search process </w:t>
      </w:r>
      <w:r w:rsidR="00FD4417" w:rsidRPr="00214B6E">
        <w:t>for everyone involved in the screening process</w:t>
      </w:r>
      <w:r w:rsidR="00D90180" w:rsidRPr="00214B6E">
        <w:t>,</w:t>
      </w:r>
      <w:r w:rsidR="00FD4417" w:rsidRPr="00214B6E">
        <w:t xml:space="preserve"> </w:t>
      </w:r>
      <w:r w:rsidRPr="00214B6E">
        <w:t xml:space="preserve">including hand written notes and </w:t>
      </w:r>
      <w:r w:rsidR="00D90180" w:rsidRPr="00214B6E">
        <w:t>printed</w:t>
      </w:r>
      <w:r w:rsidR="00FD4417" w:rsidRPr="00214B6E">
        <w:t xml:space="preserve"> </w:t>
      </w:r>
      <w:r w:rsidRPr="00214B6E">
        <w:t>electronic documentation</w:t>
      </w:r>
      <w:r w:rsidR="00D90180" w:rsidRPr="00214B6E">
        <w:t xml:space="preserve">. Forward </w:t>
      </w:r>
      <w:r w:rsidR="004A5F8B" w:rsidRPr="00214B6E">
        <w:t xml:space="preserve">all </w:t>
      </w:r>
      <w:r w:rsidR="00CF47B1">
        <w:t>information</w:t>
      </w:r>
      <w:r w:rsidR="004A5F8B" w:rsidRPr="00214B6E">
        <w:t xml:space="preserve"> </w:t>
      </w:r>
      <w:r w:rsidR="00B215EA" w:rsidRPr="00214B6E">
        <w:t>to HR promptly after the position is filled.</w:t>
      </w:r>
      <w:r w:rsidRPr="00214B6E">
        <w:t xml:space="preserve"> </w:t>
      </w:r>
    </w:p>
    <w:p w14:paraId="38CC94B7" w14:textId="3CC0FE55" w:rsidR="00B215EA" w:rsidRPr="00214B6E" w:rsidRDefault="00B215EA" w:rsidP="003B543E">
      <w:pPr>
        <w:pStyle w:val="ListParagraph"/>
        <w:numPr>
          <w:ilvl w:val="0"/>
          <w:numId w:val="1"/>
        </w:numPr>
        <w:spacing w:after="0" w:line="240" w:lineRule="auto"/>
        <w:ind w:left="180" w:hanging="180"/>
        <w:jc w:val="both"/>
      </w:pPr>
      <w:r w:rsidRPr="00214B6E">
        <w:t xml:space="preserve">Complete </w:t>
      </w:r>
      <w:r w:rsidRPr="00214B6E">
        <w:rPr>
          <w:u w:val="single"/>
        </w:rPr>
        <w:t>three reference checks</w:t>
      </w:r>
      <w:r w:rsidRPr="00214B6E">
        <w:t xml:space="preserve"> for the selected candidate</w:t>
      </w:r>
      <w:r w:rsidR="00947526">
        <w:t>,</w:t>
      </w:r>
      <w:r w:rsidRPr="00214B6E">
        <w:t xml:space="preserve"> including a current or recent supervisor</w:t>
      </w:r>
      <w:r w:rsidR="00947526">
        <w:t>,</w:t>
      </w:r>
      <w:r w:rsidRPr="00214B6E">
        <w:t xml:space="preserve"> using the reference check form</w:t>
      </w:r>
      <w:r w:rsidR="00442CD7" w:rsidRPr="00214B6E">
        <w:t xml:space="preserve">. Reference checks must be </w:t>
      </w:r>
      <w:r w:rsidRPr="00214B6E">
        <w:t>turned in to HR at the end of the search</w:t>
      </w:r>
      <w:r w:rsidR="004A5F8B" w:rsidRPr="00214B6E">
        <w:t xml:space="preserve"> along with all other documentation</w:t>
      </w:r>
      <w:r w:rsidR="008306C1">
        <w:t>.</w:t>
      </w:r>
    </w:p>
    <w:p w14:paraId="1B720C6C" w14:textId="57DC3E82" w:rsidR="004F7116" w:rsidRDefault="00BF63BD" w:rsidP="00BF63BD">
      <w:pPr>
        <w:pStyle w:val="ListParagraph"/>
        <w:numPr>
          <w:ilvl w:val="0"/>
          <w:numId w:val="1"/>
        </w:numPr>
        <w:pBdr>
          <w:bottom w:val="single" w:sz="6" w:space="7" w:color="auto"/>
        </w:pBdr>
        <w:spacing w:after="0" w:line="240" w:lineRule="auto"/>
        <w:ind w:left="180" w:hanging="180"/>
        <w:jc w:val="both"/>
      </w:pPr>
      <w:r>
        <w:t>Once</w:t>
      </w:r>
      <w:r w:rsidR="00FD4417" w:rsidRPr="00214B6E">
        <w:t xml:space="preserve"> an offer of employment </w:t>
      </w:r>
      <w:r>
        <w:t xml:space="preserve">has been </w:t>
      </w:r>
      <w:r w:rsidR="00FD4417" w:rsidRPr="00214B6E">
        <w:t>accepted, p</w:t>
      </w:r>
      <w:r w:rsidR="004F7116" w:rsidRPr="00214B6E">
        <w:t xml:space="preserve">romptly inform HR </w:t>
      </w:r>
      <w:r>
        <w:t>and submit the Candidate Pool Finalist Form.</w:t>
      </w:r>
      <w:r w:rsidR="004F7116" w:rsidRPr="00214B6E">
        <w:t xml:space="preserve"> </w:t>
      </w:r>
      <w:r>
        <w:t xml:space="preserve">    </w:t>
      </w:r>
    </w:p>
    <w:p w14:paraId="3BE7FF92" w14:textId="699EE3EA" w:rsidR="00BF63BD" w:rsidRDefault="00BF63BD" w:rsidP="00BF63BD">
      <w:pPr>
        <w:spacing w:after="0" w:line="240" w:lineRule="auto"/>
        <w:jc w:val="both"/>
        <w:rPr>
          <w:sz w:val="4"/>
          <w:szCs w:val="20"/>
        </w:rPr>
      </w:pPr>
    </w:p>
    <w:p w14:paraId="0F9A7D0D" w14:textId="34BC048F" w:rsidR="00BF63BD" w:rsidRDefault="00BF63BD" w:rsidP="00BF63BD">
      <w:pPr>
        <w:spacing w:after="0" w:line="240" w:lineRule="auto"/>
        <w:jc w:val="both"/>
        <w:rPr>
          <w:sz w:val="4"/>
          <w:szCs w:val="20"/>
        </w:rPr>
      </w:pPr>
    </w:p>
    <w:p w14:paraId="2C07BB91" w14:textId="77777777" w:rsidR="00BF63BD" w:rsidRPr="00BF63BD" w:rsidRDefault="00BF63BD" w:rsidP="00BF63BD">
      <w:pPr>
        <w:spacing w:after="0" w:line="240" w:lineRule="auto"/>
        <w:jc w:val="both"/>
        <w:rPr>
          <w:sz w:val="4"/>
          <w:szCs w:val="20"/>
        </w:rPr>
      </w:pPr>
    </w:p>
    <w:p w14:paraId="4829B862" w14:textId="0BE58887" w:rsidR="00FA4D47" w:rsidRDefault="00E26A07" w:rsidP="00BF63BD">
      <w:pPr>
        <w:spacing w:after="0" w:line="240" w:lineRule="auto"/>
        <w:jc w:val="both"/>
        <w:rPr>
          <w:sz w:val="20"/>
          <w:szCs w:val="20"/>
        </w:rPr>
      </w:pPr>
      <w:r w:rsidRPr="00214B6E">
        <w:rPr>
          <w:sz w:val="20"/>
          <w:szCs w:val="20"/>
        </w:rPr>
        <w:t>As</w:t>
      </w:r>
      <w:r w:rsidR="005B3144" w:rsidRPr="00214B6E">
        <w:rPr>
          <w:sz w:val="20"/>
          <w:szCs w:val="20"/>
        </w:rPr>
        <w:t xml:space="preserve"> </w:t>
      </w:r>
      <w:r w:rsidR="00FA4D47" w:rsidRPr="00214B6E">
        <w:rPr>
          <w:sz w:val="20"/>
          <w:szCs w:val="20"/>
        </w:rPr>
        <w:t xml:space="preserve">the </w:t>
      </w:r>
      <w:r w:rsidRPr="00214B6E">
        <w:rPr>
          <w:sz w:val="20"/>
          <w:szCs w:val="20"/>
        </w:rPr>
        <w:t>hiring manager</w:t>
      </w:r>
      <w:r w:rsidR="003B543E">
        <w:rPr>
          <w:sz w:val="20"/>
          <w:szCs w:val="20"/>
        </w:rPr>
        <w:t>/</w:t>
      </w:r>
      <w:r w:rsidR="006D1BB9" w:rsidRPr="00214B6E">
        <w:rPr>
          <w:sz w:val="20"/>
          <w:szCs w:val="20"/>
        </w:rPr>
        <w:t xml:space="preserve">search committee chair, I </w:t>
      </w:r>
      <w:r w:rsidR="004A5F8B" w:rsidRPr="00214B6E">
        <w:rPr>
          <w:sz w:val="20"/>
          <w:szCs w:val="20"/>
        </w:rPr>
        <w:t>understand my responsibility to</w:t>
      </w:r>
      <w:r w:rsidR="00FA4D47" w:rsidRPr="00214B6E">
        <w:rPr>
          <w:sz w:val="20"/>
          <w:szCs w:val="20"/>
        </w:rPr>
        <w:t xml:space="preserve"> make a </w:t>
      </w:r>
      <w:r w:rsidR="002E6AA4" w:rsidRPr="00214B6E">
        <w:rPr>
          <w:sz w:val="20"/>
          <w:szCs w:val="20"/>
        </w:rPr>
        <w:t>concerted</w:t>
      </w:r>
      <w:r w:rsidR="00FA4D47" w:rsidRPr="00214B6E">
        <w:rPr>
          <w:sz w:val="20"/>
          <w:szCs w:val="20"/>
        </w:rPr>
        <w:t xml:space="preserve"> effort to ensure the search committee members</w:t>
      </w:r>
      <w:r w:rsidR="003B543E">
        <w:rPr>
          <w:sz w:val="20"/>
          <w:szCs w:val="20"/>
        </w:rPr>
        <w:t>,</w:t>
      </w:r>
      <w:r w:rsidR="00FA4D47" w:rsidRPr="00214B6E">
        <w:rPr>
          <w:sz w:val="20"/>
          <w:szCs w:val="20"/>
        </w:rPr>
        <w:t xml:space="preserve"> or others involved in the search proce</w:t>
      </w:r>
      <w:r w:rsidR="006D1BB9" w:rsidRPr="00214B6E">
        <w:rPr>
          <w:sz w:val="20"/>
          <w:szCs w:val="20"/>
        </w:rPr>
        <w:t>ss</w:t>
      </w:r>
      <w:r w:rsidR="003B543E">
        <w:rPr>
          <w:sz w:val="20"/>
          <w:szCs w:val="20"/>
        </w:rPr>
        <w:t>,</w:t>
      </w:r>
      <w:r w:rsidR="006D1BB9" w:rsidRPr="00214B6E">
        <w:rPr>
          <w:sz w:val="20"/>
          <w:szCs w:val="20"/>
        </w:rPr>
        <w:t xml:space="preserve"> also meet these requirements</w:t>
      </w:r>
      <w:r w:rsidR="00660F76" w:rsidRPr="00660F76">
        <w:rPr>
          <w:sz w:val="20"/>
          <w:szCs w:val="20"/>
        </w:rPr>
        <w:t>.</w:t>
      </w:r>
      <w:r w:rsidR="007F3985">
        <w:rPr>
          <w:sz w:val="20"/>
          <w:szCs w:val="20"/>
        </w:rPr>
        <w:t xml:space="preserve">  For Faculty searches, I understand I am also responsible for ensuring that all committee members have completed the assigned online Search and Selection training before being provided access to applicant information.</w:t>
      </w:r>
      <w:r w:rsidR="00BF63BD">
        <w:rPr>
          <w:sz w:val="20"/>
          <w:szCs w:val="20"/>
        </w:rPr>
        <w:t xml:space="preserve"> </w:t>
      </w:r>
      <w:r w:rsidR="006D1BB9" w:rsidRPr="006D1BB9">
        <w:rPr>
          <w:sz w:val="20"/>
          <w:szCs w:val="20"/>
        </w:rPr>
        <w:t xml:space="preserve">I also </w:t>
      </w:r>
      <w:r w:rsidR="00E64FC6" w:rsidRPr="006D1BB9">
        <w:rPr>
          <w:sz w:val="20"/>
          <w:szCs w:val="20"/>
        </w:rPr>
        <w:t xml:space="preserve">agree </w:t>
      </w:r>
      <w:r w:rsidR="00F23351" w:rsidRPr="006D1BB9">
        <w:rPr>
          <w:sz w:val="20"/>
          <w:szCs w:val="20"/>
        </w:rPr>
        <w:t>to</w:t>
      </w:r>
      <w:r w:rsidR="00E64FC6" w:rsidRPr="006D1BB9">
        <w:rPr>
          <w:sz w:val="20"/>
          <w:szCs w:val="20"/>
        </w:rPr>
        <w:t xml:space="preserve"> inform HR and all parties of </w:t>
      </w:r>
      <w:r w:rsidR="00FA4D47" w:rsidRPr="006D1BB9">
        <w:rPr>
          <w:sz w:val="20"/>
          <w:szCs w:val="20"/>
        </w:rPr>
        <w:t>any conflict of interest or fairness/equity concern</w:t>
      </w:r>
      <w:r w:rsidR="004A5F8B" w:rsidRPr="006D1BB9">
        <w:rPr>
          <w:sz w:val="20"/>
          <w:szCs w:val="20"/>
        </w:rPr>
        <w:t>s</w:t>
      </w:r>
      <w:r w:rsidR="00FA4D47" w:rsidRPr="006D1BB9">
        <w:rPr>
          <w:sz w:val="20"/>
          <w:szCs w:val="20"/>
        </w:rPr>
        <w:t xml:space="preserve"> that may arise during the search and selection process.</w:t>
      </w:r>
      <w:r w:rsidR="006D1BB9" w:rsidRPr="006D1BB9">
        <w:rPr>
          <w:sz w:val="20"/>
          <w:szCs w:val="20"/>
        </w:rPr>
        <w:t xml:space="preserve">  My signature below represents my affirmation that I will meet the requirements listed above.  </w:t>
      </w:r>
    </w:p>
    <w:p w14:paraId="7FB36700" w14:textId="77777777" w:rsidR="00947526" w:rsidRPr="00947526" w:rsidRDefault="00947526" w:rsidP="00BF63BD">
      <w:pPr>
        <w:spacing w:after="0" w:line="240" w:lineRule="auto"/>
        <w:jc w:val="both"/>
        <w:rPr>
          <w:sz w:val="12"/>
          <w:szCs w:val="20"/>
        </w:rPr>
      </w:pPr>
    </w:p>
    <w:tbl>
      <w:tblPr>
        <w:tblStyle w:val="TableGrid"/>
        <w:tblW w:w="11155" w:type="dxa"/>
        <w:tblLook w:val="04A0" w:firstRow="1" w:lastRow="0" w:firstColumn="1" w:lastColumn="0" w:noHBand="0" w:noVBand="1"/>
      </w:tblPr>
      <w:tblGrid>
        <w:gridCol w:w="3130"/>
        <w:gridCol w:w="3046"/>
        <w:gridCol w:w="3828"/>
        <w:gridCol w:w="1151"/>
      </w:tblGrid>
      <w:tr w:rsidR="00126F91" w:rsidRPr="006D1BB9" w14:paraId="14E52329" w14:textId="77777777" w:rsidTr="00BF63BD">
        <w:trPr>
          <w:trHeight w:val="300"/>
        </w:trPr>
        <w:tc>
          <w:tcPr>
            <w:tcW w:w="3130" w:type="dxa"/>
            <w:shd w:val="clear" w:color="auto" w:fill="E7E6E6" w:themeFill="background2"/>
            <w:vAlign w:val="center"/>
          </w:tcPr>
          <w:p w14:paraId="039361BF" w14:textId="77777777" w:rsidR="00126F91" w:rsidRPr="006D1BB9" w:rsidRDefault="00126F91" w:rsidP="006D1BB9">
            <w:pPr>
              <w:jc w:val="center"/>
              <w:rPr>
                <w:b/>
                <w:sz w:val="20"/>
                <w:szCs w:val="20"/>
              </w:rPr>
            </w:pPr>
            <w:r w:rsidRPr="006D1BB9">
              <w:rPr>
                <w:b/>
                <w:sz w:val="20"/>
                <w:szCs w:val="20"/>
              </w:rPr>
              <w:t>Position being searched:</w:t>
            </w:r>
          </w:p>
        </w:tc>
        <w:tc>
          <w:tcPr>
            <w:tcW w:w="8025" w:type="dxa"/>
            <w:gridSpan w:val="3"/>
            <w:shd w:val="clear" w:color="auto" w:fill="E7E6E6" w:themeFill="background2"/>
            <w:vAlign w:val="center"/>
          </w:tcPr>
          <w:p w14:paraId="48197D35" w14:textId="1C8E2209" w:rsidR="00126F91" w:rsidRPr="006D1BB9" w:rsidRDefault="00126F91" w:rsidP="00E64FC6">
            <w:pPr>
              <w:jc w:val="center"/>
              <w:rPr>
                <w:b/>
                <w:sz w:val="20"/>
                <w:szCs w:val="20"/>
              </w:rPr>
            </w:pPr>
          </w:p>
        </w:tc>
      </w:tr>
      <w:tr w:rsidR="004C5203" w:rsidRPr="006D1BB9" w14:paraId="1DDD7E30" w14:textId="77777777" w:rsidTr="00BF63BD">
        <w:tc>
          <w:tcPr>
            <w:tcW w:w="3130" w:type="dxa"/>
            <w:vAlign w:val="center"/>
          </w:tcPr>
          <w:p w14:paraId="3582AB9F" w14:textId="77777777" w:rsidR="004C5203" w:rsidRPr="006D1BB9" w:rsidRDefault="004C5203" w:rsidP="006D1BB9">
            <w:pPr>
              <w:jc w:val="center"/>
              <w:rPr>
                <w:b/>
                <w:sz w:val="20"/>
                <w:szCs w:val="20"/>
              </w:rPr>
            </w:pPr>
            <w:r w:rsidRPr="006D1BB9">
              <w:rPr>
                <w:b/>
                <w:sz w:val="20"/>
                <w:szCs w:val="20"/>
              </w:rPr>
              <w:t>Name</w:t>
            </w:r>
          </w:p>
        </w:tc>
        <w:tc>
          <w:tcPr>
            <w:tcW w:w="3046" w:type="dxa"/>
            <w:vAlign w:val="center"/>
          </w:tcPr>
          <w:p w14:paraId="70FEB06D" w14:textId="10F2F5BD" w:rsidR="004C5203" w:rsidRPr="006D1BB9" w:rsidRDefault="00D433BC" w:rsidP="00660F76">
            <w:pPr>
              <w:jc w:val="center"/>
              <w:rPr>
                <w:b/>
                <w:sz w:val="16"/>
                <w:szCs w:val="16"/>
              </w:rPr>
            </w:pPr>
            <w:r w:rsidRPr="006D1BB9">
              <w:rPr>
                <w:b/>
                <w:sz w:val="16"/>
                <w:szCs w:val="16"/>
              </w:rPr>
              <w:t xml:space="preserve">ROLE: </w:t>
            </w:r>
            <w:r w:rsidR="004C5203" w:rsidRPr="006D1BB9">
              <w:rPr>
                <w:b/>
                <w:sz w:val="16"/>
                <w:szCs w:val="16"/>
              </w:rPr>
              <w:t>hiring manager</w:t>
            </w:r>
            <w:r w:rsidR="006F5999">
              <w:rPr>
                <w:b/>
                <w:sz w:val="16"/>
                <w:szCs w:val="16"/>
              </w:rPr>
              <w:t>/</w:t>
            </w:r>
            <w:r w:rsidR="00660F76">
              <w:rPr>
                <w:b/>
                <w:sz w:val="16"/>
                <w:szCs w:val="16"/>
              </w:rPr>
              <w:t xml:space="preserve"> </w:t>
            </w:r>
            <w:r w:rsidR="004C5203" w:rsidRPr="006D1BB9">
              <w:rPr>
                <w:b/>
                <w:sz w:val="16"/>
                <w:szCs w:val="16"/>
              </w:rPr>
              <w:t>co</w:t>
            </w:r>
            <w:r w:rsidR="005813FD" w:rsidRPr="006D1BB9">
              <w:rPr>
                <w:b/>
                <w:sz w:val="16"/>
                <w:szCs w:val="16"/>
              </w:rPr>
              <w:t>mmittee chair</w:t>
            </w:r>
          </w:p>
        </w:tc>
        <w:tc>
          <w:tcPr>
            <w:tcW w:w="3828" w:type="dxa"/>
            <w:vAlign w:val="center"/>
          </w:tcPr>
          <w:p w14:paraId="75C3323E" w14:textId="77777777" w:rsidR="004C5203" w:rsidRPr="006D1BB9" w:rsidRDefault="004C5203" w:rsidP="00E64FC6">
            <w:pPr>
              <w:jc w:val="center"/>
              <w:rPr>
                <w:b/>
                <w:sz w:val="20"/>
                <w:szCs w:val="20"/>
              </w:rPr>
            </w:pPr>
            <w:r w:rsidRPr="006D1BB9">
              <w:rPr>
                <w:b/>
                <w:sz w:val="20"/>
                <w:szCs w:val="20"/>
              </w:rPr>
              <w:t>Signature</w:t>
            </w:r>
          </w:p>
        </w:tc>
        <w:tc>
          <w:tcPr>
            <w:tcW w:w="1151" w:type="dxa"/>
            <w:vAlign w:val="center"/>
          </w:tcPr>
          <w:p w14:paraId="5C6B5D0C" w14:textId="77777777" w:rsidR="004C5203" w:rsidRPr="006D1BB9" w:rsidRDefault="004C5203" w:rsidP="00E64FC6">
            <w:pPr>
              <w:jc w:val="center"/>
              <w:rPr>
                <w:b/>
                <w:sz w:val="20"/>
                <w:szCs w:val="20"/>
              </w:rPr>
            </w:pPr>
            <w:r w:rsidRPr="006D1BB9">
              <w:rPr>
                <w:b/>
                <w:sz w:val="20"/>
                <w:szCs w:val="20"/>
              </w:rPr>
              <w:t>Date</w:t>
            </w:r>
          </w:p>
        </w:tc>
      </w:tr>
      <w:tr w:rsidR="00A97640" w:rsidRPr="006D1BB9" w14:paraId="1F52553E" w14:textId="77777777" w:rsidTr="00BF63BD">
        <w:trPr>
          <w:trHeight w:val="341"/>
        </w:trPr>
        <w:tc>
          <w:tcPr>
            <w:tcW w:w="3130" w:type="dxa"/>
            <w:vAlign w:val="center"/>
          </w:tcPr>
          <w:p w14:paraId="788D4F25" w14:textId="77777777" w:rsidR="00A97640" w:rsidRPr="00214B6E" w:rsidRDefault="00A97640" w:rsidP="006D1BB9">
            <w:pPr>
              <w:jc w:val="center"/>
              <w:rPr>
                <w:b/>
                <w:sz w:val="16"/>
                <w:szCs w:val="16"/>
              </w:rPr>
            </w:pPr>
          </w:p>
        </w:tc>
        <w:tc>
          <w:tcPr>
            <w:tcW w:w="3046" w:type="dxa"/>
            <w:vAlign w:val="center"/>
          </w:tcPr>
          <w:p w14:paraId="60222C5C" w14:textId="77777777" w:rsidR="00A97640" w:rsidRPr="00B76925" w:rsidRDefault="00A97640" w:rsidP="00660F76">
            <w:pPr>
              <w:jc w:val="center"/>
              <w:rPr>
                <w:b/>
                <w:sz w:val="16"/>
                <w:szCs w:val="16"/>
              </w:rPr>
            </w:pPr>
          </w:p>
        </w:tc>
        <w:tc>
          <w:tcPr>
            <w:tcW w:w="3828" w:type="dxa"/>
            <w:vAlign w:val="center"/>
          </w:tcPr>
          <w:p w14:paraId="1A0CB13F" w14:textId="77777777" w:rsidR="00A97640" w:rsidRPr="00214B6E" w:rsidRDefault="00A97640" w:rsidP="00E64FC6">
            <w:pPr>
              <w:jc w:val="center"/>
              <w:rPr>
                <w:b/>
                <w:sz w:val="16"/>
                <w:szCs w:val="16"/>
              </w:rPr>
            </w:pPr>
          </w:p>
        </w:tc>
        <w:tc>
          <w:tcPr>
            <w:tcW w:w="1151" w:type="dxa"/>
            <w:vAlign w:val="center"/>
          </w:tcPr>
          <w:p w14:paraId="73F87FF8" w14:textId="77777777" w:rsidR="00A97640" w:rsidRPr="00214B6E" w:rsidRDefault="00A97640" w:rsidP="00E64FC6">
            <w:pPr>
              <w:jc w:val="center"/>
              <w:rPr>
                <w:b/>
                <w:sz w:val="16"/>
                <w:szCs w:val="16"/>
              </w:rPr>
            </w:pPr>
          </w:p>
        </w:tc>
      </w:tr>
      <w:tr w:rsidR="00B76925" w:rsidRPr="006D1BB9" w14:paraId="19ACED8E" w14:textId="77777777" w:rsidTr="00BF63BD">
        <w:trPr>
          <w:trHeight w:val="350"/>
        </w:trPr>
        <w:tc>
          <w:tcPr>
            <w:tcW w:w="3130" w:type="dxa"/>
            <w:vAlign w:val="center"/>
          </w:tcPr>
          <w:p w14:paraId="283DE5D6" w14:textId="77777777" w:rsidR="00B76925" w:rsidRPr="00214B6E" w:rsidRDefault="00B76925" w:rsidP="006D1BB9">
            <w:pPr>
              <w:jc w:val="center"/>
              <w:rPr>
                <w:b/>
                <w:sz w:val="16"/>
                <w:szCs w:val="16"/>
              </w:rPr>
            </w:pPr>
          </w:p>
        </w:tc>
        <w:tc>
          <w:tcPr>
            <w:tcW w:w="3046" w:type="dxa"/>
            <w:vAlign w:val="center"/>
          </w:tcPr>
          <w:p w14:paraId="69A6FD2F" w14:textId="77777777" w:rsidR="00B76925" w:rsidRPr="00B76925" w:rsidRDefault="00B76925" w:rsidP="00660F76">
            <w:pPr>
              <w:jc w:val="center"/>
              <w:rPr>
                <w:b/>
                <w:sz w:val="16"/>
                <w:szCs w:val="16"/>
              </w:rPr>
            </w:pPr>
          </w:p>
        </w:tc>
        <w:tc>
          <w:tcPr>
            <w:tcW w:w="3828" w:type="dxa"/>
            <w:vAlign w:val="center"/>
          </w:tcPr>
          <w:p w14:paraId="464BE7FD" w14:textId="77777777" w:rsidR="00B76925" w:rsidRPr="00214B6E" w:rsidRDefault="00B76925" w:rsidP="00E64FC6">
            <w:pPr>
              <w:jc w:val="center"/>
              <w:rPr>
                <w:b/>
                <w:sz w:val="16"/>
                <w:szCs w:val="16"/>
              </w:rPr>
            </w:pPr>
          </w:p>
        </w:tc>
        <w:tc>
          <w:tcPr>
            <w:tcW w:w="1151" w:type="dxa"/>
            <w:vAlign w:val="center"/>
          </w:tcPr>
          <w:p w14:paraId="690FAEAC" w14:textId="77777777" w:rsidR="00B76925" w:rsidRPr="00214B6E" w:rsidRDefault="00B76925" w:rsidP="00E64FC6">
            <w:pPr>
              <w:jc w:val="center"/>
              <w:rPr>
                <w:b/>
                <w:sz w:val="16"/>
                <w:szCs w:val="16"/>
              </w:rPr>
            </w:pPr>
          </w:p>
        </w:tc>
      </w:tr>
    </w:tbl>
    <w:p w14:paraId="496CA7A9" w14:textId="48E224FA" w:rsidR="00FF3508" w:rsidRDefault="00FF3508" w:rsidP="00BF63BD">
      <w:pPr>
        <w:spacing w:after="0"/>
        <w:rPr>
          <w:sz w:val="20"/>
          <w:szCs w:val="20"/>
        </w:rPr>
      </w:pPr>
    </w:p>
    <w:p w14:paraId="26B15F0B" w14:textId="77777777" w:rsidR="004C5203" w:rsidRPr="00FF3508" w:rsidRDefault="004C5203" w:rsidP="00FF3508">
      <w:pPr>
        <w:rPr>
          <w:sz w:val="20"/>
          <w:szCs w:val="20"/>
        </w:rPr>
      </w:pPr>
    </w:p>
    <w:sectPr w:rsidR="004C5203" w:rsidRPr="00FF3508" w:rsidSect="003B543E">
      <w:footerReference w:type="default" r:id="rId11"/>
      <w:pgSz w:w="12240" w:h="15840" w:code="1"/>
      <w:pgMar w:top="270" w:right="540"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1539" w14:textId="77777777" w:rsidR="00831150" w:rsidRDefault="00831150" w:rsidP="00951F0E">
      <w:pPr>
        <w:spacing w:after="0" w:line="240" w:lineRule="auto"/>
      </w:pPr>
      <w:r>
        <w:separator/>
      </w:r>
    </w:p>
  </w:endnote>
  <w:endnote w:type="continuationSeparator" w:id="0">
    <w:p w14:paraId="0D244455" w14:textId="77777777" w:rsidR="00831150" w:rsidRDefault="00831150" w:rsidP="0095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31FC" w14:textId="4677CBC9" w:rsidR="00831150" w:rsidRDefault="003B543E">
    <w:pPr>
      <w:pStyle w:val="Footer"/>
      <w:rPr>
        <w:sz w:val="16"/>
        <w:szCs w:val="16"/>
      </w:rPr>
    </w:pPr>
    <w:r>
      <w:rPr>
        <w:sz w:val="16"/>
        <w:szCs w:val="16"/>
      </w:rPr>
      <w:t xml:space="preserve">Rev </w:t>
    </w:r>
    <w:r w:rsidR="00FF3508">
      <w:rPr>
        <w:sz w:val="16"/>
        <w:szCs w:val="16"/>
      </w:rPr>
      <w:t>8/</w:t>
    </w:r>
    <w:r w:rsidR="00015B08">
      <w:rPr>
        <w:sz w:val="16"/>
        <w:szCs w:val="16"/>
      </w:rPr>
      <w:t>4</w:t>
    </w:r>
    <w:r w:rsidR="00FF3508">
      <w:rPr>
        <w:sz w:val="16"/>
        <w:szCs w:val="16"/>
      </w:rPr>
      <w:t>/2023</w:t>
    </w:r>
  </w:p>
  <w:p w14:paraId="59367FAE" w14:textId="1E2CF252" w:rsidR="00831150" w:rsidRPr="00A63EEE" w:rsidRDefault="0083115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9973" w14:textId="77777777" w:rsidR="00831150" w:rsidRDefault="00831150" w:rsidP="00951F0E">
      <w:pPr>
        <w:spacing w:after="0" w:line="240" w:lineRule="auto"/>
      </w:pPr>
      <w:r>
        <w:separator/>
      </w:r>
    </w:p>
  </w:footnote>
  <w:footnote w:type="continuationSeparator" w:id="0">
    <w:p w14:paraId="2A7E5E19" w14:textId="77777777" w:rsidR="00831150" w:rsidRDefault="00831150" w:rsidP="0095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F27"/>
    <w:multiLevelType w:val="multilevel"/>
    <w:tmpl w:val="9B241B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112DF2"/>
    <w:multiLevelType w:val="hybridMultilevel"/>
    <w:tmpl w:val="4350B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EF5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611119"/>
    <w:multiLevelType w:val="hybridMultilevel"/>
    <w:tmpl w:val="5A5E2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B0E80"/>
    <w:multiLevelType w:val="multilevel"/>
    <w:tmpl w:val="D626EA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50"/>
    <w:rsid w:val="00015B08"/>
    <w:rsid w:val="000831A6"/>
    <w:rsid w:val="00091D2B"/>
    <w:rsid w:val="000A60D0"/>
    <w:rsid w:val="00111E7C"/>
    <w:rsid w:val="00115DD0"/>
    <w:rsid w:val="00126F91"/>
    <w:rsid w:val="00214B6E"/>
    <w:rsid w:val="00236A82"/>
    <w:rsid w:val="00246BFC"/>
    <w:rsid w:val="002E6AA4"/>
    <w:rsid w:val="003022B3"/>
    <w:rsid w:val="00314BC0"/>
    <w:rsid w:val="00364937"/>
    <w:rsid w:val="003B543E"/>
    <w:rsid w:val="003D0368"/>
    <w:rsid w:val="003D305D"/>
    <w:rsid w:val="003D6FAE"/>
    <w:rsid w:val="00420DD1"/>
    <w:rsid w:val="00442CD7"/>
    <w:rsid w:val="00452F1E"/>
    <w:rsid w:val="004A5F8B"/>
    <w:rsid w:val="004C5203"/>
    <w:rsid w:val="004F7116"/>
    <w:rsid w:val="00525AFA"/>
    <w:rsid w:val="0052666C"/>
    <w:rsid w:val="00543B2A"/>
    <w:rsid w:val="00554205"/>
    <w:rsid w:val="00565C70"/>
    <w:rsid w:val="005813FD"/>
    <w:rsid w:val="005B3144"/>
    <w:rsid w:val="005E4B44"/>
    <w:rsid w:val="005F6520"/>
    <w:rsid w:val="006038FD"/>
    <w:rsid w:val="00655805"/>
    <w:rsid w:val="00660F76"/>
    <w:rsid w:val="0067765B"/>
    <w:rsid w:val="006D1BB9"/>
    <w:rsid w:val="006F5999"/>
    <w:rsid w:val="00731BBF"/>
    <w:rsid w:val="00752F0C"/>
    <w:rsid w:val="00776150"/>
    <w:rsid w:val="00786A6D"/>
    <w:rsid w:val="00795AA2"/>
    <w:rsid w:val="007F3985"/>
    <w:rsid w:val="008306C1"/>
    <w:rsid w:val="00831150"/>
    <w:rsid w:val="00890A21"/>
    <w:rsid w:val="008E5D50"/>
    <w:rsid w:val="00907F03"/>
    <w:rsid w:val="00930BFF"/>
    <w:rsid w:val="00947526"/>
    <w:rsid w:val="00951F0E"/>
    <w:rsid w:val="00953069"/>
    <w:rsid w:val="009B25B9"/>
    <w:rsid w:val="009B3315"/>
    <w:rsid w:val="009D560D"/>
    <w:rsid w:val="00A307F7"/>
    <w:rsid w:val="00A41502"/>
    <w:rsid w:val="00A436D6"/>
    <w:rsid w:val="00A54D0B"/>
    <w:rsid w:val="00A63EEE"/>
    <w:rsid w:val="00A97640"/>
    <w:rsid w:val="00AA23C6"/>
    <w:rsid w:val="00B215EA"/>
    <w:rsid w:val="00B47AE2"/>
    <w:rsid w:val="00B63321"/>
    <w:rsid w:val="00B76925"/>
    <w:rsid w:val="00B87098"/>
    <w:rsid w:val="00BF63BD"/>
    <w:rsid w:val="00CB3377"/>
    <w:rsid w:val="00CD648E"/>
    <w:rsid w:val="00CD6A60"/>
    <w:rsid w:val="00CF125E"/>
    <w:rsid w:val="00CF1B22"/>
    <w:rsid w:val="00CF47B1"/>
    <w:rsid w:val="00D40984"/>
    <w:rsid w:val="00D433BC"/>
    <w:rsid w:val="00D90056"/>
    <w:rsid w:val="00D90180"/>
    <w:rsid w:val="00D90F0B"/>
    <w:rsid w:val="00D96967"/>
    <w:rsid w:val="00DA703C"/>
    <w:rsid w:val="00E26A07"/>
    <w:rsid w:val="00E47378"/>
    <w:rsid w:val="00E64FC6"/>
    <w:rsid w:val="00F1739D"/>
    <w:rsid w:val="00F23351"/>
    <w:rsid w:val="00F50F5A"/>
    <w:rsid w:val="00F64760"/>
    <w:rsid w:val="00FA4D47"/>
    <w:rsid w:val="00FD4417"/>
    <w:rsid w:val="00FD4E19"/>
    <w:rsid w:val="00FE0923"/>
    <w:rsid w:val="00FE17BC"/>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7A276A"/>
  <w15:chartTrackingRefBased/>
  <w15:docId w15:val="{F4DEBE50-FE1D-4216-A5AA-64E1ACFE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C0"/>
    <w:pPr>
      <w:ind w:left="720"/>
      <w:contextualSpacing/>
    </w:pPr>
  </w:style>
  <w:style w:type="table" w:styleId="TableGrid">
    <w:name w:val="Table Grid"/>
    <w:basedOn w:val="TableNormal"/>
    <w:uiPriority w:val="39"/>
    <w:rsid w:val="0011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DD0"/>
    <w:rPr>
      <w:rFonts w:ascii="Segoe UI" w:hAnsi="Segoe UI" w:cs="Segoe UI"/>
      <w:sz w:val="18"/>
      <w:szCs w:val="18"/>
    </w:rPr>
  </w:style>
  <w:style w:type="paragraph" w:styleId="Header">
    <w:name w:val="header"/>
    <w:basedOn w:val="Normal"/>
    <w:link w:val="HeaderChar"/>
    <w:uiPriority w:val="99"/>
    <w:unhideWhenUsed/>
    <w:rsid w:val="00951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0E"/>
  </w:style>
  <w:style w:type="paragraph" w:styleId="Footer">
    <w:name w:val="footer"/>
    <w:basedOn w:val="Normal"/>
    <w:link w:val="FooterChar"/>
    <w:uiPriority w:val="99"/>
    <w:unhideWhenUsed/>
    <w:rsid w:val="00951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0E"/>
  </w:style>
  <w:style w:type="character" w:styleId="Hyperlink">
    <w:name w:val="Hyperlink"/>
    <w:basedOn w:val="DefaultParagraphFont"/>
    <w:uiPriority w:val="99"/>
    <w:unhideWhenUsed/>
    <w:rsid w:val="00236A82"/>
    <w:rPr>
      <w:color w:val="0563C1" w:themeColor="hyperlink"/>
      <w:u w:val="single"/>
    </w:rPr>
  </w:style>
  <w:style w:type="character" w:styleId="CommentReference">
    <w:name w:val="annotation reference"/>
    <w:basedOn w:val="DefaultParagraphFont"/>
    <w:uiPriority w:val="99"/>
    <w:semiHidden/>
    <w:unhideWhenUsed/>
    <w:rsid w:val="00B63321"/>
    <w:rPr>
      <w:sz w:val="16"/>
      <w:szCs w:val="16"/>
    </w:rPr>
  </w:style>
  <w:style w:type="paragraph" w:styleId="CommentText">
    <w:name w:val="annotation text"/>
    <w:basedOn w:val="Normal"/>
    <w:link w:val="CommentTextChar"/>
    <w:uiPriority w:val="99"/>
    <w:semiHidden/>
    <w:unhideWhenUsed/>
    <w:rsid w:val="00B63321"/>
    <w:pPr>
      <w:spacing w:line="240" w:lineRule="auto"/>
    </w:pPr>
    <w:rPr>
      <w:sz w:val="20"/>
      <w:szCs w:val="20"/>
    </w:rPr>
  </w:style>
  <w:style w:type="character" w:customStyle="1" w:styleId="CommentTextChar">
    <w:name w:val="Comment Text Char"/>
    <w:basedOn w:val="DefaultParagraphFont"/>
    <w:link w:val="CommentText"/>
    <w:uiPriority w:val="99"/>
    <w:semiHidden/>
    <w:rsid w:val="00B63321"/>
    <w:rPr>
      <w:sz w:val="20"/>
      <w:szCs w:val="20"/>
    </w:rPr>
  </w:style>
  <w:style w:type="paragraph" w:styleId="CommentSubject">
    <w:name w:val="annotation subject"/>
    <w:basedOn w:val="CommentText"/>
    <w:next w:val="CommentText"/>
    <w:link w:val="CommentSubjectChar"/>
    <w:uiPriority w:val="99"/>
    <w:semiHidden/>
    <w:unhideWhenUsed/>
    <w:rsid w:val="00B63321"/>
    <w:rPr>
      <w:b/>
      <w:bCs/>
    </w:rPr>
  </w:style>
  <w:style w:type="character" w:customStyle="1" w:styleId="CommentSubjectChar">
    <w:name w:val="Comment Subject Char"/>
    <w:basedOn w:val="CommentTextChar"/>
    <w:link w:val="CommentSubject"/>
    <w:uiPriority w:val="99"/>
    <w:semiHidden/>
    <w:rsid w:val="00B63321"/>
    <w:rPr>
      <w:b/>
      <w:bCs/>
      <w:sz w:val="20"/>
      <w:szCs w:val="20"/>
    </w:rPr>
  </w:style>
  <w:style w:type="paragraph" w:styleId="Revision">
    <w:name w:val="Revision"/>
    <w:hidden/>
    <w:uiPriority w:val="99"/>
    <w:semiHidden/>
    <w:rsid w:val="00660F76"/>
    <w:pPr>
      <w:spacing w:after="0" w:line="240" w:lineRule="auto"/>
    </w:pPr>
  </w:style>
  <w:style w:type="character" w:styleId="UnresolvedMention">
    <w:name w:val="Unresolved Mention"/>
    <w:basedOn w:val="DefaultParagraphFont"/>
    <w:uiPriority w:val="99"/>
    <w:semiHidden/>
    <w:unhideWhenUsed/>
    <w:rsid w:val="00FD4E19"/>
    <w:rPr>
      <w:color w:val="605E5C"/>
      <w:shd w:val="clear" w:color="auto" w:fill="E1DFDD"/>
    </w:rPr>
  </w:style>
  <w:style w:type="character" w:styleId="FollowedHyperlink">
    <w:name w:val="FollowedHyperlink"/>
    <w:basedOn w:val="DefaultParagraphFont"/>
    <w:uiPriority w:val="99"/>
    <w:semiHidden/>
    <w:unhideWhenUsed/>
    <w:rsid w:val="00DA7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lisbury.edu/administration/administration-and-finance-offices/human-resources/current-employees/_files/employment-poster-bulletin-board/maryland-equal-pay-for-equal-work.pdf" TargetMode="External"/><Relationship Id="rId4" Type="http://schemas.openxmlformats.org/officeDocument/2006/relationships/settings" Target="settings.xml"/><Relationship Id="rId9" Type="http://schemas.openxmlformats.org/officeDocument/2006/relationships/hyperlink" Target="http://www.salisbury.edu/equity/eoa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22F3-A97E-4964-9567-2314E6E2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Sabol</dc:creator>
  <cp:keywords/>
  <dc:description/>
  <cp:lastModifiedBy>Christine Benoit</cp:lastModifiedBy>
  <cp:revision>3</cp:revision>
  <cp:lastPrinted>2016-11-11T19:57:00Z</cp:lastPrinted>
  <dcterms:created xsi:type="dcterms:W3CDTF">2023-08-04T19:14:00Z</dcterms:created>
  <dcterms:modified xsi:type="dcterms:W3CDTF">2023-08-04T19:15:00Z</dcterms:modified>
</cp:coreProperties>
</file>