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9E6" w:rsidRDefault="002639E6"/>
    <w:p w:rsidR="00D90BA2" w:rsidRDefault="00D90BA2" w:rsidP="008A0C95"/>
    <w:p w:rsidR="00D90BA2" w:rsidRDefault="00D90BA2" w:rsidP="008A0C95"/>
    <w:p w:rsidR="00D90BA2" w:rsidRDefault="00D90BA2" w:rsidP="008A0C95"/>
    <w:p w:rsidR="00F71C74" w:rsidRDefault="00D3591B" w:rsidP="00F71C74">
      <w:pPr>
        <w:jc w:val="center"/>
      </w:pPr>
      <w:r>
        <w:rPr>
          <w:noProof/>
        </w:rPr>
        <w:drawing>
          <wp:inline distT="0" distB="0" distL="0" distR="0">
            <wp:extent cx="1638935" cy="509270"/>
            <wp:effectExtent l="19050" t="0" r="0" b="0"/>
            <wp:docPr id="1"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8" cstate="print"/>
                    <a:srcRect/>
                    <a:stretch>
                      <a:fillRect/>
                    </a:stretch>
                  </pic:blipFill>
                  <pic:spPr bwMode="auto">
                    <a:xfrm>
                      <a:off x="0" y="0"/>
                      <a:ext cx="1638935" cy="509270"/>
                    </a:xfrm>
                    <a:prstGeom prst="rect">
                      <a:avLst/>
                    </a:prstGeom>
                    <a:noFill/>
                    <a:ln w="9525">
                      <a:noFill/>
                      <a:miter lim="800000"/>
                      <a:headEnd/>
                      <a:tailEnd/>
                    </a:ln>
                  </pic:spPr>
                </pic:pic>
              </a:graphicData>
            </a:graphic>
          </wp:inline>
        </w:drawing>
      </w:r>
    </w:p>
    <w:p w:rsidR="00F71C74" w:rsidRDefault="00F71C74" w:rsidP="00F71C74">
      <w:pPr>
        <w:jc w:val="center"/>
      </w:pPr>
    </w:p>
    <w:p w:rsidR="00D90BA2" w:rsidRDefault="00F133DE" w:rsidP="00D90BA2">
      <w:pPr>
        <w:jc w:val="center"/>
        <w:rPr>
          <w:rFonts w:ascii="Century Schoolbook" w:hAnsi="Century Schoolbook"/>
          <w:sz w:val="36"/>
          <w:szCs w:val="36"/>
        </w:rPr>
      </w:pPr>
      <w:r>
        <w:rPr>
          <w:rFonts w:ascii="Century Schoolbook" w:hAnsi="Century Schoolbook"/>
          <w:sz w:val="36"/>
          <w:szCs w:val="36"/>
        </w:rPr>
        <w:t>Regular Faculty Overload</w:t>
      </w:r>
    </w:p>
    <w:p w:rsidR="00281A34" w:rsidRDefault="00281A34" w:rsidP="00D90BA2">
      <w:pPr>
        <w:jc w:val="center"/>
        <w:rPr>
          <w:rFonts w:ascii="Century Schoolbook" w:hAnsi="Century Schoolbook"/>
          <w:sz w:val="36"/>
          <w:szCs w:val="36"/>
        </w:rPr>
      </w:pPr>
      <w:r>
        <w:rPr>
          <w:rFonts w:ascii="Century Schoolbook" w:hAnsi="Century Schoolbook"/>
          <w:sz w:val="36"/>
          <w:szCs w:val="36"/>
        </w:rPr>
        <w:t>Contract Submitter Instructions</w:t>
      </w:r>
    </w:p>
    <w:p w:rsidR="00F71C74" w:rsidRDefault="00F71C74" w:rsidP="00D90BA2">
      <w:pPr>
        <w:jc w:val="center"/>
        <w:rPr>
          <w:rFonts w:ascii="Century Schoolbook" w:hAnsi="Century Schoolbook"/>
          <w:sz w:val="36"/>
          <w:szCs w:val="36"/>
        </w:rPr>
      </w:pPr>
    </w:p>
    <w:p w:rsidR="00F71C74" w:rsidRDefault="00F71C74" w:rsidP="00D90BA2">
      <w:pPr>
        <w:jc w:val="center"/>
        <w:rPr>
          <w:rFonts w:ascii="Century Schoolbook" w:hAnsi="Century Schoolbook"/>
          <w:sz w:val="36"/>
          <w:szCs w:val="36"/>
        </w:rPr>
      </w:pPr>
    </w:p>
    <w:p w:rsidR="00F71C74" w:rsidRDefault="00EF6658" w:rsidP="00D90BA2">
      <w:pPr>
        <w:jc w:val="center"/>
        <w:rPr>
          <w:rFonts w:ascii="Century Schoolbook" w:hAnsi="Century Schoolbook"/>
          <w:sz w:val="36"/>
          <w:szCs w:val="36"/>
        </w:rPr>
      </w:pPr>
      <w:r>
        <w:rPr>
          <w:noProof/>
        </w:rPr>
        <w:drawing>
          <wp:inline distT="0" distB="0" distL="0" distR="0" wp14:anchorId="45DDE56C" wp14:editId="6CB73AF8">
            <wp:extent cx="3744190" cy="27949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46161" cy="2796430"/>
                    </a:xfrm>
                    <a:prstGeom prst="rect">
                      <a:avLst/>
                    </a:prstGeom>
                  </pic:spPr>
                </pic:pic>
              </a:graphicData>
            </a:graphic>
          </wp:inline>
        </w:drawing>
      </w:r>
    </w:p>
    <w:p w:rsidR="00F71C74" w:rsidRDefault="00F71C74" w:rsidP="00D90BA2">
      <w:pPr>
        <w:jc w:val="center"/>
        <w:rPr>
          <w:rFonts w:ascii="Century Schoolbook" w:hAnsi="Century Schoolbook"/>
          <w:sz w:val="36"/>
          <w:szCs w:val="36"/>
        </w:rPr>
      </w:pPr>
    </w:p>
    <w:p w:rsidR="00F71C74" w:rsidRDefault="00F71C74" w:rsidP="00D90BA2">
      <w:pPr>
        <w:jc w:val="center"/>
        <w:rPr>
          <w:rFonts w:ascii="Lucida Calligraphy" w:hAnsi="Lucida Calligraphy"/>
          <w:sz w:val="32"/>
          <w:szCs w:val="32"/>
        </w:rPr>
      </w:pPr>
    </w:p>
    <w:p w:rsidR="00EF6658" w:rsidRDefault="00EF6658" w:rsidP="00D90BA2">
      <w:pPr>
        <w:jc w:val="center"/>
        <w:rPr>
          <w:rFonts w:ascii="Lucida Calligraphy" w:hAnsi="Lucida Calligraphy"/>
          <w:sz w:val="32"/>
          <w:szCs w:val="32"/>
        </w:rPr>
      </w:pPr>
    </w:p>
    <w:p w:rsidR="00F71C74" w:rsidRDefault="00F71C74" w:rsidP="00D90BA2">
      <w:pPr>
        <w:jc w:val="center"/>
        <w:rPr>
          <w:rFonts w:ascii="Lucida Calligraphy" w:hAnsi="Lucida Calligraphy"/>
          <w:sz w:val="32"/>
          <w:szCs w:val="32"/>
        </w:rPr>
      </w:pPr>
    </w:p>
    <w:p w:rsidR="008A0C95" w:rsidRPr="00D90BA2" w:rsidRDefault="00F71C74" w:rsidP="00D90BA2">
      <w:pPr>
        <w:jc w:val="center"/>
        <w:rPr>
          <w:rFonts w:ascii="Lucida Calligraphy" w:hAnsi="Lucida Calligraphy"/>
          <w:sz w:val="32"/>
          <w:szCs w:val="32"/>
        </w:rPr>
      </w:pPr>
      <w:r>
        <w:rPr>
          <w:rFonts w:ascii="Lucida Calligraphy" w:hAnsi="Lucida Calligraphy"/>
          <w:sz w:val="32"/>
          <w:szCs w:val="32"/>
        </w:rPr>
        <w:t xml:space="preserve">A </w:t>
      </w:r>
      <w:r w:rsidR="00D90BA2" w:rsidRPr="00F71C74">
        <w:rPr>
          <w:rFonts w:ascii="Lucida Calligraphy" w:hAnsi="Lucida Calligraphy"/>
          <w:sz w:val="32"/>
          <w:szCs w:val="32"/>
        </w:rPr>
        <w:t xml:space="preserve">Custom Bolt-on </w:t>
      </w:r>
      <w:r w:rsidR="009C0764">
        <w:rPr>
          <w:rFonts w:ascii="Lucida Calligraphy" w:hAnsi="Lucida Calligraphy"/>
          <w:sz w:val="32"/>
          <w:szCs w:val="32"/>
        </w:rPr>
        <w:t>PeopleSoft</w:t>
      </w:r>
      <w:r w:rsidR="00D90BA2" w:rsidRPr="00F71C74">
        <w:rPr>
          <w:rFonts w:ascii="Lucida Calligraphy" w:hAnsi="Lucida Calligraphy"/>
          <w:sz w:val="32"/>
          <w:szCs w:val="32"/>
        </w:rPr>
        <w:t xml:space="preserve"> Application</w:t>
      </w:r>
      <w:r w:rsidR="00D90BA2" w:rsidRPr="00D90BA2">
        <w:rPr>
          <w:rFonts w:ascii="Lucida Calligraphy" w:hAnsi="Lucida Calligraphy"/>
          <w:sz w:val="32"/>
          <w:szCs w:val="32"/>
        </w:rPr>
        <w:br w:type="page"/>
      </w:r>
    </w:p>
    <w:p w:rsidR="00D90BA2" w:rsidRDefault="00D90BA2" w:rsidP="00D90BA2">
      <w:pPr>
        <w:pStyle w:val="TOCHeading"/>
        <w:jc w:val="center"/>
      </w:pPr>
      <w:r>
        <w:lastRenderedPageBreak/>
        <w:t>Table of Contents</w:t>
      </w:r>
    </w:p>
    <w:p w:rsidR="00D90BA2" w:rsidRPr="00D90BA2" w:rsidRDefault="00D90BA2" w:rsidP="00D90BA2"/>
    <w:p w:rsidR="0081638F" w:rsidRDefault="000C24D5" w:rsidP="002479FA">
      <w:pPr>
        <w:pStyle w:val="TOC1"/>
        <w:tabs>
          <w:tab w:val="right" w:leader="dot" w:pos="8630"/>
        </w:tabs>
        <w:rPr>
          <w:rFonts w:asciiTheme="minorHAnsi" w:eastAsiaTheme="minorEastAsia" w:hAnsiTheme="minorHAnsi" w:cstheme="minorBidi"/>
          <w:noProof/>
          <w:sz w:val="22"/>
          <w:szCs w:val="22"/>
        </w:rPr>
      </w:pPr>
      <w:r>
        <w:fldChar w:fldCharType="begin"/>
      </w:r>
      <w:r w:rsidR="00D90BA2">
        <w:instrText xml:space="preserve"> TOC \o "1-3" \h \z \u </w:instrText>
      </w:r>
      <w:r>
        <w:fldChar w:fldCharType="separate"/>
      </w:r>
      <w:hyperlink w:anchor="_Toc323881128" w:history="1">
        <w:r w:rsidR="00420207" w:rsidRPr="00420207">
          <w:t xml:space="preserve"> </w:t>
        </w:r>
        <w:r w:rsidR="00420207" w:rsidRPr="00420207">
          <w:rPr>
            <w:rStyle w:val="Hyperlink"/>
            <w:noProof/>
          </w:rPr>
          <w:t>Regular Facu</w:t>
        </w:r>
        <w:r w:rsidR="00420207">
          <w:rPr>
            <w:rStyle w:val="Hyperlink"/>
            <w:noProof/>
          </w:rPr>
          <w:t>lty Overload Contract</w:t>
        </w:r>
        <w:r w:rsidR="002479FA" w:rsidRPr="002479FA">
          <w:rPr>
            <w:rStyle w:val="Hyperlink"/>
            <w:noProof/>
          </w:rPr>
          <w:t xml:space="preserve"> Search Page “</w:t>
        </w:r>
        <w:r w:rsidR="002479FA">
          <w:rPr>
            <w:rStyle w:val="Hyperlink"/>
            <w:noProof/>
          </w:rPr>
          <w:t>Find An Existing</w:t>
        </w:r>
        <w:r w:rsidR="002479FA" w:rsidRPr="002479FA">
          <w:rPr>
            <w:rStyle w:val="Hyperlink"/>
            <w:noProof/>
          </w:rPr>
          <w:t xml:space="preserve"> Value” Tab</w:t>
        </w:r>
        <w:r w:rsidR="0081638F">
          <w:rPr>
            <w:noProof/>
            <w:webHidden/>
          </w:rPr>
          <w:tab/>
        </w:r>
        <w:r w:rsidR="000934DA">
          <w:rPr>
            <w:noProof/>
            <w:webHidden/>
          </w:rPr>
          <w:t>3</w:t>
        </w:r>
      </w:hyperlink>
    </w:p>
    <w:p w:rsidR="0081638F" w:rsidRDefault="00AC426D" w:rsidP="002479FA">
      <w:pPr>
        <w:pStyle w:val="TOC2"/>
        <w:tabs>
          <w:tab w:val="right" w:leader="dot" w:pos="8630"/>
        </w:tabs>
        <w:ind w:left="0"/>
        <w:rPr>
          <w:rFonts w:asciiTheme="minorHAnsi" w:eastAsiaTheme="minorEastAsia" w:hAnsiTheme="minorHAnsi" w:cstheme="minorBidi"/>
          <w:noProof/>
          <w:sz w:val="22"/>
          <w:szCs w:val="22"/>
        </w:rPr>
      </w:pPr>
      <w:hyperlink w:anchor="_Toc323881129" w:history="1">
        <w:r w:rsidR="00420207" w:rsidRPr="00420207">
          <w:t xml:space="preserve"> </w:t>
        </w:r>
        <w:r w:rsidR="00420207" w:rsidRPr="00420207">
          <w:rPr>
            <w:rStyle w:val="Hyperlink"/>
            <w:noProof/>
          </w:rPr>
          <w:t>Regular Facu</w:t>
        </w:r>
        <w:r w:rsidR="00420207">
          <w:rPr>
            <w:rStyle w:val="Hyperlink"/>
            <w:noProof/>
          </w:rPr>
          <w:t xml:space="preserve">lty Overload Contract </w:t>
        </w:r>
        <w:r w:rsidR="002479FA" w:rsidRPr="002479FA">
          <w:rPr>
            <w:rStyle w:val="Hyperlink"/>
            <w:noProof/>
          </w:rPr>
          <w:t>Search Page “Add A New Value” Tab</w:t>
        </w:r>
        <w:r w:rsidR="0081638F">
          <w:rPr>
            <w:noProof/>
            <w:webHidden/>
          </w:rPr>
          <w:tab/>
        </w:r>
        <w:r w:rsidR="000934DA">
          <w:rPr>
            <w:noProof/>
            <w:webHidden/>
          </w:rPr>
          <w:t>6</w:t>
        </w:r>
      </w:hyperlink>
    </w:p>
    <w:p w:rsidR="0081638F" w:rsidRDefault="00AC426D" w:rsidP="002479FA">
      <w:pPr>
        <w:pStyle w:val="TOC2"/>
        <w:tabs>
          <w:tab w:val="right" w:leader="dot" w:pos="8630"/>
        </w:tabs>
        <w:ind w:left="0"/>
        <w:rPr>
          <w:rFonts w:asciiTheme="minorHAnsi" w:eastAsiaTheme="minorEastAsia" w:hAnsiTheme="minorHAnsi" w:cstheme="minorBidi"/>
          <w:noProof/>
          <w:sz w:val="22"/>
          <w:szCs w:val="22"/>
        </w:rPr>
      </w:pPr>
      <w:hyperlink w:anchor="_Toc323881130" w:history="1">
        <w:r w:rsidR="00420207" w:rsidRPr="00420207">
          <w:t xml:space="preserve"> </w:t>
        </w:r>
        <w:r w:rsidR="00420207" w:rsidRPr="00420207">
          <w:rPr>
            <w:rStyle w:val="Hyperlink"/>
            <w:noProof/>
          </w:rPr>
          <w:t>Regular Faculty Overload Contract Submission</w:t>
        </w:r>
        <w:r w:rsidR="009B209C" w:rsidRPr="009B209C">
          <w:rPr>
            <w:rStyle w:val="Hyperlink"/>
            <w:noProof/>
          </w:rPr>
          <w:t xml:space="preserve"> </w:t>
        </w:r>
        <w:r w:rsidR="0081638F" w:rsidRPr="003B1607">
          <w:rPr>
            <w:rStyle w:val="Hyperlink"/>
            <w:noProof/>
          </w:rPr>
          <w:t>Page</w:t>
        </w:r>
        <w:r w:rsidR="0081638F">
          <w:rPr>
            <w:noProof/>
            <w:webHidden/>
          </w:rPr>
          <w:tab/>
        </w:r>
      </w:hyperlink>
      <w:r w:rsidR="00420207">
        <w:rPr>
          <w:noProof/>
        </w:rPr>
        <w:t>7</w:t>
      </w:r>
    </w:p>
    <w:p w:rsidR="0081638F" w:rsidRDefault="00420207">
      <w:pPr>
        <w:pStyle w:val="TOC1"/>
        <w:tabs>
          <w:tab w:val="right" w:leader="dot" w:pos="8630"/>
        </w:tabs>
        <w:rPr>
          <w:rFonts w:asciiTheme="minorHAnsi" w:eastAsiaTheme="minorEastAsia" w:hAnsiTheme="minorHAnsi" w:cstheme="minorBidi"/>
          <w:noProof/>
          <w:sz w:val="22"/>
          <w:szCs w:val="22"/>
        </w:rPr>
      </w:pPr>
      <w:r>
        <w:t xml:space="preserve"> </w:t>
      </w:r>
      <w:r w:rsidR="000934DA" w:rsidRPr="000934DA">
        <w:t>HR Instructions</w:t>
      </w:r>
      <w:hyperlink w:anchor="_Toc323881131" w:history="1">
        <w:r w:rsidR="0081638F">
          <w:rPr>
            <w:noProof/>
            <w:webHidden/>
          </w:rPr>
          <w:tab/>
        </w:r>
        <w:r w:rsidR="000934DA">
          <w:rPr>
            <w:noProof/>
            <w:webHidden/>
          </w:rPr>
          <w:t>1</w:t>
        </w:r>
      </w:hyperlink>
      <w:r>
        <w:rPr>
          <w:noProof/>
        </w:rPr>
        <w:t>0</w:t>
      </w:r>
    </w:p>
    <w:p w:rsidR="002639E6" w:rsidRDefault="000C24D5">
      <w:r>
        <w:fldChar w:fldCharType="end"/>
      </w:r>
    </w:p>
    <w:p w:rsidR="001E508F" w:rsidRDefault="002639E6" w:rsidP="00D82770">
      <w:pPr>
        <w:pStyle w:val="Heading1"/>
      </w:pPr>
      <w:r>
        <w:br w:type="page"/>
      </w:r>
    </w:p>
    <w:p w:rsidR="00167195" w:rsidRPr="0010285B" w:rsidRDefault="00F133DE" w:rsidP="002639E6">
      <w:pPr>
        <w:pStyle w:val="Heading1"/>
      </w:pPr>
      <w:bookmarkStart w:id="0" w:name="_Toc323881127"/>
      <w:r>
        <w:lastRenderedPageBreak/>
        <w:t>Regular</w:t>
      </w:r>
      <w:r w:rsidR="00D82770">
        <w:t xml:space="preserve"> Faculty</w:t>
      </w:r>
      <w:r w:rsidR="00914F50">
        <w:t xml:space="preserve"> </w:t>
      </w:r>
      <w:r>
        <w:t>Overload</w:t>
      </w:r>
      <w:r w:rsidR="00914F50">
        <w:t xml:space="preserve"> </w:t>
      </w:r>
      <w:bookmarkEnd w:id="0"/>
      <w:r w:rsidR="008911FC">
        <w:t>Process Search and Entry</w:t>
      </w:r>
    </w:p>
    <w:p w:rsidR="00B430A8" w:rsidRDefault="00B430A8" w:rsidP="00B430A8">
      <w:pPr>
        <w:pStyle w:val="ListParagraph"/>
        <w:ind w:left="0"/>
      </w:pPr>
    </w:p>
    <w:p w:rsidR="008A0C95" w:rsidRDefault="00E94DF6" w:rsidP="008A0C95">
      <w:pPr>
        <w:rPr>
          <w:b/>
          <w:bCs/>
          <w:u w:val="single"/>
        </w:rPr>
      </w:pPr>
      <w:r w:rsidRPr="00E94DF6">
        <w:rPr>
          <w:b/>
          <w:bCs/>
          <w:u w:val="single"/>
        </w:rPr>
        <w:t xml:space="preserve">Regular Faculty Overload </w:t>
      </w:r>
      <w:r w:rsidR="002479FA">
        <w:rPr>
          <w:b/>
          <w:bCs/>
          <w:u w:val="single"/>
        </w:rPr>
        <w:t>Entry Search Page “Find an Existing Value” Tab</w:t>
      </w:r>
    </w:p>
    <w:p w:rsidR="002479FA" w:rsidRPr="008A0C95" w:rsidRDefault="002479FA" w:rsidP="008A0C95"/>
    <w:p w:rsidR="00E758D4" w:rsidRDefault="00167195" w:rsidP="00E94DF6">
      <w:pPr>
        <w:numPr>
          <w:ilvl w:val="0"/>
          <w:numId w:val="4"/>
        </w:numPr>
      </w:pPr>
      <w:r>
        <w:t xml:space="preserve">Navigate </w:t>
      </w:r>
      <w:r w:rsidR="00540F72">
        <w:t>to</w:t>
      </w:r>
      <w:r w:rsidR="00540F72" w:rsidRPr="00540F72">
        <w:t xml:space="preserve"> </w:t>
      </w:r>
      <w:r w:rsidR="00540F72" w:rsidRPr="007B2307">
        <w:t xml:space="preserve">SU Custom &gt; Employment Contract Processing &gt; </w:t>
      </w:r>
      <w:r w:rsidR="00E94DF6" w:rsidRPr="00E94DF6">
        <w:t>Reg Faculty Overload Contracts</w:t>
      </w:r>
      <w:r w:rsidR="009A3B6F">
        <w:t xml:space="preserve"> &gt; </w:t>
      </w:r>
      <w:r w:rsidR="009A3B6F" w:rsidRPr="00E94DF6">
        <w:t>Reg Faculty Overload Contracts</w:t>
      </w:r>
      <w:r w:rsidR="00E94DF6">
        <w:t>.</w:t>
      </w:r>
    </w:p>
    <w:p w:rsidR="00E94DF6" w:rsidRDefault="00E94DF6" w:rsidP="00E94DF6">
      <w:pPr>
        <w:ind w:left="720"/>
      </w:pPr>
    </w:p>
    <w:p w:rsidR="00E758D4" w:rsidRDefault="00E758D4" w:rsidP="00E758D4">
      <w:pPr>
        <w:numPr>
          <w:ilvl w:val="1"/>
          <w:numId w:val="4"/>
        </w:numPr>
      </w:pPr>
      <w:r>
        <w:t xml:space="preserve">Use this search page to search for </w:t>
      </w:r>
      <w:r w:rsidR="00E94DF6">
        <w:t>faculty</w:t>
      </w:r>
      <w:r>
        <w:t xml:space="preserve"> that already have a </w:t>
      </w:r>
      <w:proofErr w:type="spellStart"/>
      <w:r w:rsidR="002479FA">
        <w:t>GullNet</w:t>
      </w:r>
      <w:proofErr w:type="spellEnd"/>
      <w:r w:rsidR="002479FA">
        <w:t xml:space="preserve"> </w:t>
      </w:r>
      <w:r w:rsidR="00E94DF6">
        <w:t>overload</w:t>
      </w:r>
      <w:r>
        <w:t xml:space="preserve"> record (contract) started.  </w:t>
      </w:r>
    </w:p>
    <w:p w:rsidR="005E6CCE" w:rsidRDefault="005156A5" w:rsidP="005E6CCE">
      <w:r>
        <w:rPr>
          <w:noProof/>
        </w:rPr>
        <w:drawing>
          <wp:inline distT="0" distB="0" distL="0" distR="0" wp14:anchorId="46064191" wp14:editId="5E5C4C2C">
            <wp:extent cx="5941516" cy="37719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4311" cy="3773675"/>
                    </a:xfrm>
                    <a:prstGeom prst="rect">
                      <a:avLst/>
                    </a:prstGeom>
                  </pic:spPr>
                </pic:pic>
              </a:graphicData>
            </a:graphic>
          </wp:inline>
        </w:drawing>
      </w:r>
    </w:p>
    <w:p w:rsidR="00B265EF" w:rsidRDefault="00B265EF">
      <w:r>
        <w:br w:type="page"/>
      </w:r>
    </w:p>
    <w:p w:rsidR="005E6CCE" w:rsidRDefault="005E6CCE" w:rsidP="005E6CCE">
      <w:pPr>
        <w:numPr>
          <w:ilvl w:val="1"/>
          <w:numId w:val="4"/>
        </w:numPr>
      </w:pPr>
      <w:r>
        <w:lastRenderedPageBreak/>
        <w:t xml:space="preserve">You can search by </w:t>
      </w:r>
      <w:proofErr w:type="spellStart"/>
      <w:r>
        <w:t>Empl</w:t>
      </w:r>
      <w:proofErr w:type="spellEnd"/>
      <w:r>
        <w:t xml:space="preserve"> ID, Term, Department, Dates of the Contract, Name and Contract Type</w:t>
      </w:r>
      <w:r w:rsidR="00B265EF">
        <w:t xml:space="preserve"> and/or any combination thereof</w:t>
      </w:r>
      <w:r>
        <w:t>. Also, y</w:t>
      </w:r>
      <w:r w:rsidRPr="005E6CCE">
        <w:t xml:space="preserve">ou can use this to </w:t>
      </w:r>
      <w:r>
        <w:t>search the list by</w:t>
      </w:r>
      <w:r w:rsidRPr="005E6CCE">
        <w:t xml:space="preserve"> </w:t>
      </w:r>
      <w:r w:rsidR="00B265EF">
        <w:t xml:space="preserve">contract </w:t>
      </w:r>
      <w:r w:rsidRPr="005E6CCE">
        <w:t>submission status</w:t>
      </w:r>
      <w:r>
        <w:t xml:space="preserve">.  The submission statuses (in normal processing order) are as follows: </w:t>
      </w:r>
      <w:r w:rsidRPr="005E6CCE">
        <w:t xml:space="preserve"> </w:t>
      </w:r>
      <w:r>
        <w:t>Not Submitted;</w:t>
      </w:r>
      <w:r w:rsidRPr="005E6CCE">
        <w:t xml:space="preserve"> Chair Approval Needed</w:t>
      </w:r>
      <w:r>
        <w:t xml:space="preserve">; </w:t>
      </w:r>
      <w:r w:rsidRPr="005E6CCE">
        <w:t>Faculty Signoff Needed</w:t>
      </w:r>
      <w:r>
        <w:t xml:space="preserve">; </w:t>
      </w:r>
      <w:r w:rsidRPr="005E6CCE">
        <w:t>Chair Signoff Needed</w:t>
      </w:r>
      <w:r>
        <w:t xml:space="preserve">; </w:t>
      </w:r>
      <w:r w:rsidRPr="005E6CCE">
        <w:t>Dean Signoff Needed</w:t>
      </w:r>
      <w:r>
        <w:t xml:space="preserve">; </w:t>
      </w:r>
      <w:r w:rsidRPr="005E6CCE">
        <w:t>HR Data Input Needed</w:t>
      </w:r>
      <w:r>
        <w:t xml:space="preserve">; </w:t>
      </w:r>
      <w:r w:rsidRPr="005E6CCE">
        <w:t>Commitment Acct Input Needed</w:t>
      </w:r>
      <w:r>
        <w:t xml:space="preserve">; </w:t>
      </w:r>
      <w:r w:rsidRPr="005E6CCE">
        <w:t>Completed; or Cancelled.</w:t>
      </w:r>
      <w:r>
        <w:t xml:space="preserve">  Below is what you would choose to </w:t>
      </w:r>
      <w:r w:rsidR="00B265EF">
        <w:t>search</w:t>
      </w:r>
      <w:r>
        <w:t xml:space="preserve"> for all </w:t>
      </w:r>
      <w:r w:rsidR="005156A5">
        <w:t>faculty</w:t>
      </w:r>
      <w:r>
        <w:t xml:space="preserve"> who </w:t>
      </w:r>
      <w:r w:rsidR="00B265EF">
        <w:t>need the Dean’s Signoff.</w:t>
      </w:r>
    </w:p>
    <w:p w:rsidR="005E6CCE" w:rsidRDefault="004B0989" w:rsidP="005E6CCE">
      <w:r>
        <w:rPr>
          <w:noProof/>
        </w:rPr>
        <w:drawing>
          <wp:inline distT="0" distB="0" distL="0" distR="0" wp14:anchorId="25B2ECE5" wp14:editId="313CCFBA">
            <wp:extent cx="5804176" cy="36766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9217" cy="3679843"/>
                    </a:xfrm>
                    <a:prstGeom prst="rect">
                      <a:avLst/>
                    </a:prstGeom>
                  </pic:spPr>
                </pic:pic>
              </a:graphicData>
            </a:graphic>
          </wp:inline>
        </w:drawing>
      </w:r>
    </w:p>
    <w:p w:rsidR="00B265EF" w:rsidRDefault="00B265EF" w:rsidP="005E6CCE"/>
    <w:p w:rsidR="00B265EF" w:rsidRDefault="00B265EF">
      <w:r>
        <w:br w:type="page"/>
      </w:r>
    </w:p>
    <w:p w:rsidR="00B265EF" w:rsidRDefault="00B265EF" w:rsidP="00B265EF">
      <w:pPr>
        <w:numPr>
          <w:ilvl w:val="1"/>
          <w:numId w:val="4"/>
        </w:numPr>
      </w:pPr>
      <w:r>
        <w:lastRenderedPageBreak/>
        <w:t>Also, you can search for all Completed or Cancelled Contracts by selecting as in the example below.  Alternatively, choose “Contracts Waiting Action” for all contracts in process.</w:t>
      </w:r>
    </w:p>
    <w:p w:rsidR="00B265EF" w:rsidRDefault="004B0989" w:rsidP="00B265EF">
      <w:r>
        <w:rPr>
          <w:noProof/>
        </w:rPr>
        <w:drawing>
          <wp:inline distT="0" distB="0" distL="0" distR="0" wp14:anchorId="208BBC62" wp14:editId="401DE779">
            <wp:extent cx="5936926" cy="3765550"/>
            <wp:effectExtent l="0" t="0" r="698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5359" cy="3770899"/>
                    </a:xfrm>
                    <a:prstGeom prst="rect">
                      <a:avLst/>
                    </a:prstGeom>
                  </pic:spPr>
                </pic:pic>
              </a:graphicData>
            </a:graphic>
          </wp:inline>
        </w:drawing>
      </w:r>
    </w:p>
    <w:p w:rsidR="00E758D4" w:rsidRDefault="00E758D4" w:rsidP="00E758D4"/>
    <w:p w:rsidR="00E758D4" w:rsidRDefault="005B6AF8" w:rsidP="00E758D4">
      <w:r>
        <w:br w:type="page"/>
      </w:r>
    </w:p>
    <w:p w:rsidR="008911FC" w:rsidRPr="008911FC" w:rsidRDefault="00A43CBC" w:rsidP="008911FC">
      <w:pPr>
        <w:keepNext/>
        <w:spacing w:before="240" w:after="60"/>
        <w:outlineLvl w:val="1"/>
        <w:rPr>
          <w:b/>
          <w:bCs/>
          <w:u w:val="single"/>
        </w:rPr>
      </w:pPr>
      <w:r>
        <w:rPr>
          <w:b/>
          <w:bCs/>
          <w:u w:val="single"/>
        </w:rPr>
        <w:lastRenderedPageBreak/>
        <w:t>Regular Faculty Overload Contract</w:t>
      </w:r>
      <w:r w:rsidR="008911FC" w:rsidRPr="008911FC">
        <w:rPr>
          <w:b/>
          <w:bCs/>
          <w:u w:val="single"/>
        </w:rPr>
        <w:t xml:space="preserve"> </w:t>
      </w:r>
      <w:r w:rsidR="008911FC">
        <w:rPr>
          <w:b/>
          <w:bCs/>
          <w:u w:val="single"/>
        </w:rPr>
        <w:t>Entry Search Pag</w:t>
      </w:r>
      <w:r w:rsidR="002479FA">
        <w:rPr>
          <w:b/>
          <w:bCs/>
          <w:u w:val="single"/>
        </w:rPr>
        <w:t xml:space="preserve">e “Add A New Value” Tab </w:t>
      </w:r>
    </w:p>
    <w:p w:rsidR="00E758D4" w:rsidRDefault="00E758D4" w:rsidP="008911FC">
      <w:r w:rsidRPr="00E758D4">
        <w:t>Click</w:t>
      </w:r>
      <w:r>
        <w:t xml:space="preserve"> on the “</w:t>
      </w:r>
      <w:r w:rsidRPr="00AE2DCD">
        <w:rPr>
          <w:u w:val="single"/>
        </w:rPr>
        <w:t>A</w:t>
      </w:r>
      <w:r>
        <w:t xml:space="preserve">dd </w:t>
      </w:r>
      <w:r w:rsidR="00AE2DCD">
        <w:t xml:space="preserve">a New Value” tab to </w:t>
      </w:r>
      <w:r w:rsidR="005B6AF8">
        <w:t xml:space="preserve">select </w:t>
      </w:r>
      <w:proofErr w:type="gramStart"/>
      <w:r w:rsidR="005B6AF8">
        <w:t>an</w:t>
      </w:r>
      <w:proofErr w:type="gramEnd"/>
      <w:r w:rsidR="005B6AF8">
        <w:t xml:space="preserve"> </w:t>
      </w:r>
      <w:r w:rsidR="00354767">
        <w:t>regular currently employed faculty</w:t>
      </w:r>
      <w:r w:rsidR="005B6AF8">
        <w:t xml:space="preserve"> </w:t>
      </w:r>
      <w:r w:rsidR="00354767">
        <w:t xml:space="preserve">member </w:t>
      </w:r>
      <w:r w:rsidR="005B6AF8">
        <w:t xml:space="preserve">so you can </w:t>
      </w:r>
      <w:r w:rsidR="00A53AA1">
        <w:t xml:space="preserve">proceed to </w:t>
      </w:r>
      <w:r w:rsidR="005B6AF8">
        <w:t xml:space="preserve">enter a new contract.  </w:t>
      </w:r>
    </w:p>
    <w:p w:rsidR="00C629D6" w:rsidRDefault="00354767" w:rsidP="00C629D6">
      <w:r>
        <w:rPr>
          <w:noProof/>
        </w:rPr>
        <w:drawing>
          <wp:inline distT="0" distB="0" distL="0" distR="0" wp14:anchorId="240BFBED" wp14:editId="217F4BB8">
            <wp:extent cx="6038265" cy="32099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43594" cy="3212758"/>
                    </a:xfrm>
                    <a:prstGeom prst="rect">
                      <a:avLst/>
                    </a:prstGeom>
                  </pic:spPr>
                </pic:pic>
              </a:graphicData>
            </a:graphic>
          </wp:inline>
        </w:drawing>
      </w:r>
    </w:p>
    <w:p w:rsidR="00C629D6" w:rsidRDefault="00C629D6" w:rsidP="00C629D6"/>
    <w:p w:rsidR="0056753F" w:rsidRDefault="0056753F" w:rsidP="0056753F">
      <w:pPr>
        <w:numPr>
          <w:ilvl w:val="0"/>
          <w:numId w:val="4"/>
        </w:numPr>
      </w:pPr>
      <w:r>
        <w:t>The page shown above contains numbered field and controls (numbered for reference purposes for this document only as they do not appear on the page).  They are:</w:t>
      </w:r>
    </w:p>
    <w:p w:rsidR="0056753F" w:rsidRDefault="0056753F" w:rsidP="0056753F">
      <w:pPr>
        <w:pStyle w:val="ListParagraph"/>
        <w:numPr>
          <w:ilvl w:val="1"/>
          <w:numId w:val="4"/>
        </w:numPr>
      </w:pPr>
      <w:proofErr w:type="spellStart"/>
      <w:r>
        <w:t>Empl</w:t>
      </w:r>
      <w:proofErr w:type="spellEnd"/>
      <w:r>
        <w:t xml:space="preserve"> ID:  If you know the </w:t>
      </w:r>
      <w:proofErr w:type="spellStart"/>
      <w:r>
        <w:t>emplid</w:t>
      </w:r>
      <w:proofErr w:type="spellEnd"/>
      <w:r>
        <w:t xml:space="preserve"> of the employee you can enter it here or click on the magnifying glass to</w:t>
      </w:r>
      <w:r w:rsidR="0085343F">
        <w:t xml:space="preserve"> see a list of eligible </w:t>
      </w:r>
      <w:proofErr w:type="gramStart"/>
      <w:r w:rsidR="0085343F">
        <w:t>faculty</w:t>
      </w:r>
      <w:proofErr w:type="gramEnd"/>
      <w:r>
        <w:t>.  Clicking on the magnifying glass will allow you to search for the faculty member by name.</w:t>
      </w:r>
    </w:p>
    <w:p w:rsidR="0056753F" w:rsidRDefault="0056753F" w:rsidP="0056753F">
      <w:pPr>
        <w:pStyle w:val="ListParagraph"/>
        <w:numPr>
          <w:ilvl w:val="1"/>
          <w:numId w:val="4"/>
        </w:numPr>
      </w:pPr>
      <w:r>
        <w:t>Term:  This is the term in which the faculty member will teach</w:t>
      </w:r>
      <w:r w:rsidR="00D669DB">
        <w:t>.</w:t>
      </w:r>
    </w:p>
    <w:p w:rsidR="00AC426D" w:rsidRPr="00AC426D" w:rsidRDefault="00AC426D" w:rsidP="00AC426D">
      <w:pPr>
        <w:pStyle w:val="ListParagraph"/>
        <w:ind w:left="1440"/>
        <w:rPr>
          <w:b/>
          <w:sz w:val="22"/>
        </w:rPr>
      </w:pPr>
      <w:r>
        <w:rPr>
          <w:b/>
          <w:sz w:val="22"/>
        </w:rPr>
        <w:t>**</w:t>
      </w:r>
      <w:r w:rsidRPr="00AC426D">
        <w:rPr>
          <w:b/>
          <w:sz w:val="22"/>
        </w:rPr>
        <w:t>Henson School Specific Guidelines</w:t>
      </w:r>
      <w:r>
        <w:rPr>
          <w:b/>
          <w:sz w:val="22"/>
        </w:rPr>
        <w:t>**</w:t>
      </w:r>
    </w:p>
    <w:p w:rsidR="00AC426D" w:rsidRPr="00AC426D" w:rsidRDefault="00AC426D" w:rsidP="00AC426D">
      <w:pPr>
        <w:pStyle w:val="ListParagraph"/>
        <w:ind w:left="1440"/>
        <w:rPr>
          <w:sz w:val="18"/>
        </w:rPr>
      </w:pPr>
      <w:r w:rsidRPr="00AC426D">
        <w:rPr>
          <w:sz w:val="18"/>
          <w:highlight w:val="yellow"/>
        </w:rPr>
        <w:t xml:space="preserve">If a faculty member’s Fall overload contract could not be executed in the Fall semester because of either uncertainty with the Spring workload or because of an unforeseen change in circumstances, we will treat the overload as being related to a full academic year. In other words, the overload pay will be the sum of the overload in the Fall and the Spring (this is normal), but it will be Spring courses only that push them over the </w:t>
      </w:r>
      <w:proofErr w:type="gramStart"/>
      <w:r w:rsidRPr="00AC426D">
        <w:rPr>
          <w:sz w:val="18"/>
          <w:highlight w:val="yellow"/>
        </w:rPr>
        <w:t>24 contact</w:t>
      </w:r>
      <w:proofErr w:type="gramEnd"/>
      <w:r w:rsidRPr="00AC426D">
        <w:rPr>
          <w:sz w:val="18"/>
          <w:highlight w:val="yellow"/>
        </w:rPr>
        <w:t xml:space="preserve"> hour maximum. In the Notes section of the contract, you will want to write that this overload represents the total for the academic year.</w:t>
      </w:r>
    </w:p>
    <w:p w:rsidR="0056753F" w:rsidRDefault="0056753F" w:rsidP="0056753F">
      <w:pPr>
        <w:pStyle w:val="ListParagraph"/>
        <w:numPr>
          <w:ilvl w:val="1"/>
          <w:numId w:val="4"/>
        </w:numPr>
      </w:pPr>
      <w:r>
        <w:t>Department: Enter the department code you wish to use to fund the position.  If you do not see the code you wish to use, please contact HR so they can set it up.</w:t>
      </w:r>
    </w:p>
    <w:p w:rsidR="0056753F" w:rsidRDefault="00354767" w:rsidP="0056753F">
      <w:pPr>
        <w:pStyle w:val="ListParagraph"/>
        <w:numPr>
          <w:ilvl w:val="1"/>
          <w:numId w:val="4"/>
        </w:numPr>
      </w:pPr>
      <w:r>
        <w:t>Start</w:t>
      </w:r>
      <w:r w:rsidR="0056753F">
        <w:t xml:space="preserve"> Date: </w:t>
      </w:r>
      <w:r>
        <w:t>Start date</w:t>
      </w:r>
      <w:r w:rsidR="0056753F">
        <w:t xml:space="preserve"> of the contract.</w:t>
      </w:r>
    </w:p>
    <w:p w:rsidR="0056753F" w:rsidRDefault="00354767" w:rsidP="006875FD">
      <w:pPr>
        <w:pStyle w:val="ListParagraph"/>
        <w:numPr>
          <w:ilvl w:val="1"/>
          <w:numId w:val="4"/>
        </w:numPr>
      </w:pPr>
      <w:r>
        <w:t>End Date</w:t>
      </w:r>
      <w:r w:rsidR="0056753F">
        <w:t xml:space="preserve">:  </w:t>
      </w:r>
      <w:r>
        <w:t>End date of the contract</w:t>
      </w:r>
      <w:r w:rsidR="0056753F">
        <w:t>.</w:t>
      </w:r>
    </w:p>
    <w:p w:rsidR="00810EF1" w:rsidRDefault="0056753F" w:rsidP="00AC426D">
      <w:pPr>
        <w:pStyle w:val="ListParagraph"/>
        <w:numPr>
          <w:ilvl w:val="1"/>
          <w:numId w:val="4"/>
        </w:numPr>
      </w:pPr>
      <w:r>
        <w:t>C</w:t>
      </w:r>
      <w:r w:rsidR="00C629D6">
        <w:t xml:space="preserve">licking the yellow “Add” button in the screenshot above will take you to the </w:t>
      </w:r>
      <w:r w:rsidR="00904136" w:rsidRPr="00904136">
        <w:t>Regular Faculty Overload Contract Submission</w:t>
      </w:r>
      <w:r w:rsidR="00904136">
        <w:t xml:space="preserve"> p</w:t>
      </w:r>
      <w:r w:rsidR="001449CD">
        <w:t>a</w:t>
      </w:r>
      <w:r w:rsidR="00C629D6" w:rsidRPr="00C629D6">
        <w:t>ge</w:t>
      </w:r>
      <w:bookmarkStart w:id="1" w:name="_GoBack"/>
      <w:bookmarkEnd w:id="1"/>
    </w:p>
    <w:p w:rsidR="00D854A4" w:rsidRDefault="001449CD" w:rsidP="00D854A4">
      <w:pPr>
        <w:pStyle w:val="Heading2"/>
        <w:rPr>
          <w:rStyle w:val="Emphasis"/>
          <w:rFonts w:ascii="Times New Roman" w:hAnsi="Times New Roman"/>
          <w:sz w:val="24"/>
          <w:szCs w:val="24"/>
          <w:u w:val="single"/>
        </w:rPr>
      </w:pPr>
      <w:bookmarkStart w:id="2" w:name="_Toc323881130"/>
      <w:r w:rsidRPr="001449CD">
        <w:rPr>
          <w:rStyle w:val="Emphasis"/>
          <w:rFonts w:ascii="Times New Roman" w:hAnsi="Times New Roman"/>
          <w:sz w:val="24"/>
          <w:szCs w:val="24"/>
          <w:u w:val="single"/>
        </w:rPr>
        <w:lastRenderedPageBreak/>
        <w:t>Regular Faculty Overload Contract Submission</w:t>
      </w:r>
      <w:r w:rsidR="00D854A4" w:rsidRPr="00C629D6">
        <w:rPr>
          <w:rStyle w:val="Emphasis"/>
          <w:rFonts w:ascii="Times New Roman" w:hAnsi="Times New Roman"/>
          <w:sz w:val="24"/>
          <w:szCs w:val="24"/>
          <w:u w:val="single"/>
        </w:rPr>
        <w:t xml:space="preserve"> Page</w:t>
      </w:r>
      <w:bookmarkEnd w:id="2"/>
    </w:p>
    <w:p w:rsidR="00810EF1" w:rsidRDefault="00810EF1" w:rsidP="00810EF1"/>
    <w:p w:rsidR="00571A69" w:rsidRPr="00810EF1" w:rsidRDefault="003C384F" w:rsidP="00571A69">
      <w:pPr>
        <w:ind w:left="-810"/>
      </w:pPr>
      <w:r>
        <w:rPr>
          <w:noProof/>
        </w:rPr>
        <w:drawing>
          <wp:inline distT="0" distB="0" distL="0" distR="0" wp14:anchorId="185065DB" wp14:editId="00B17BF5">
            <wp:extent cx="6400800" cy="6795664"/>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13161" cy="6808787"/>
                    </a:xfrm>
                    <a:prstGeom prst="rect">
                      <a:avLst/>
                    </a:prstGeom>
                  </pic:spPr>
                </pic:pic>
              </a:graphicData>
            </a:graphic>
          </wp:inline>
        </w:drawing>
      </w:r>
    </w:p>
    <w:p w:rsidR="003D36A4" w:rsidRDefault="003D36A4" w:rsidP="00D854A4"/>
    <w:p w:rsidR="00692E9E" w:rsidRDefault="00692E9E" w:rsidP="00692E9E">
      <w:pPr>
        <w:numPr>
          <w:ilvl w:val="0"/>
          <w:numId w:val="4"/>
        </w:numPr>
      </w:pPr>
      <w:r>
        <w:lastRenderedPageBreak/>
        <w:t>Th</w:t>
      </w:r>
      <w:r w:rsidR="00EA0B4A">
        <w:t>e</w:t>
      </w:r>
      <w:r>
        <w:t xml:space="preserve"> page</w:t>
      </w:r>
      <w:r w:rsidR="00EA0B4A">
        <w:t xml:space="preserve"> show</w:t>
      </w:r>
      <w:r w:rsidR="007E37DD">
        <w:t>n</w:t>
      </w:r>
      <w:r w:rsidR="00EA0B4A">
        <w:t xml:space="preserve"> above contains </w:t>
      </w:r>
      <w:r w:rsidR="00571A69">
        <w:t>numbered field and controls (numbered for reference purposes for this document only as they do not appear on the page).  They are:</w:t>
      </w:r>
    </w:p>
    <w:p w:rsidR="004D4F29" w:rsidRDefault="004D4F29"/>
    <w:p w:rsidR="00EA0B4A" w:rsidRDefault="00EA0B4A" w:rsidP="004D4F29">
      <w:pPr>
        <w:pStyle w:val="ListParagraph"/>
        <w:ind w:left="1440"/>
      </w:pPr>
    </w:p>
    <w:p w:rsidR="004D4F29" w:rsidRDefault="004D4F29" w:rsidP="001059F8">
      <w:pPr>
        <w:numPr>
          <w:ilvl w:val="1"/>
          <w:numId w:val="4"/>
        </w:numPr>
      </w:pPr>
      <w:r>
        <w:t xml:space="preserve">The “Check Job Record” button allows you to see the job records of the employee.  They are based on the </w:t>
      </w:r>
      <w:proofErr w:type="spellStart"/>
      <w:r>
        <w:t>Empl</w:t>
      </w:r>
      <w:proofErr w:type="spellEnd"/>
      <w:r>
        <w:t xml:space="preserve"> Record of the employee and include active as well as non-active jobs.  This is for informational purposes only.</w:t>
      </w:r>
    </w:p>
    <w:p w:rsidR="004D4F29" w:rsidRDefault="004D4F29" w:rsidP="004D4F29"/>
    <w:p w:rsidR="00D336B2" w:rsidRDefault="00D336B2" w:rsidP="00EA0B4A">
      <w:pPr>
        <w:numPr>
          <w:ilvl w:val="1"/>
          <w:numId w:val="4"/>
        </w:numPr>
      </w:pPr>
      <w:r>
        <w:t xml:space="preserve">Multiple Dept </w:t>
      </w:r>
      <w:proofErr w:type="gramStart"/>
      <w:r>
        <w:t>Codes?:</w:t>
      </w:r>
      <w:proofErr w:type="gramEnd"/>
      <w:r>
        <w:t xml:space="preserve"> Only check this when you will be allocating the contract salary among more than one department cod</w:t>
      </w:r>
      <w:r w:rsidR="00DD7681">
        <w:t>e</w:t>
      </w:r>
      <w:r>
        <w:t>.</w:t>
      </w:r>
      <w:r w:rsidR="00DD7681">
        <w:t xml:space="preserve">  It opens a small data entry window where you must enter at least two department codes. The </w:t>
      </w:r>
      <w:proofErr w:type="spellStart"/>
      <w:r w:rsidR="00DD7681">
        <w:t>pecentages</w:t>
      </w:r>
      <w:proofErr w:type="spellEnd"/>
      <w:r w:rsidR="00DD7681">
        <w:t xml:space="preserve"> must add up to 100.  Contact HR if you do not see your department codes when you select the department magnifying glass.</w:t>
      </w:r>
    </w:p>
    <w:p w:rsidR="00DD7681" w:rsidRDefault="00DD7681" w:rsidP="00DD7681">
      <w:pPr>
        <w:ind w:left="720" w:firstLine="720"/>
      </w:pPr>
      <w:r>
        <w:rPr>
          <w:noProof/>
        </w:rPr>
        <w:drawing>
          <wp:inline distT="0" distB="0" distL="0" distR="0" wp14:anchorId="31234384" wp14:editId="6640AA5E">
            <wp:extent cx="4409524" cy="141904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09524" cy="1419048"/>
                    </a:xfrm>
                    <a:prstGeom prst="rect">
                      <a:avLst/>
                    </a:prstGeom>
                  </pic:spPr>
                </pic:pic>
              </a:graphicData>
            </a:graphic>
          </wp:inline>
        </w:drawing>
      </w:r>
    </w:p>
    <w:p w:rsidR="00DD7681" w:rsidRDefault="00DD7681" w:rsidP="00DD7681"/>
    <w:p w:rsidR="00B63B90" w:rsidRDefault="000016D3" w:rsidP="00EA0B4A">
      <w:pPr>
        <w:numPr>
          <w:ilvl w:val="1"/>
          <w:numId w:val="4"/>
        </w:numPr>
      </w:pPr>
      <w:r>
        <w:t>Submission Status</w:t>
      </w:r>
      <w:r w:rsidR="007C1B82">
        <w:t xml:space="preserve">: </w:t>
      </w:r>
      <w:r w:rsidR="00B63B90">
        <w:t xml:space="preserve"> </w:t>
      </w:r>
      <w:r>
        <w:t>This is a read-only field and is set to “</w:t>
      </w:r>
      <w:r w:rsidR="00DD7681">
        <w:t>Not Submitted</w:t>
      </w:r>
      <w:r>
        <w:t>” until the contract has been submitted</w:t>
      </w:r>
      <w:r w:rsidR="00DD7681">
        <w:t>.</w:t>
      </w:r>
    </w:p>
    <w:p w:rsidR="00D336B2" w:rsidRDefault="001449CD" w:rsidP="00D336B2">
      <w:pPr>
        <w:pStyle w:val="ListParagraph"/>
        <w:numPr>
          <w:ilvl w:val="1"/>
          <w:numId w:val="4"/>
        </w:numPr>
      </w:pPr>
      <w:r>
        <w:t>Faculty</w:t>
      </w:r>
      <w:r w:rsidR="00D336B2" w:rsidRPr="00D336B2">
        <w:t xml:space="preserve"> Contract Type:  You have two selections for this required field, </w:t>
      </w:r>
      <w:r>
        <w:t>Overload Faculty</w:t>
      </w:r>
      <w:r w:rsidR="00D336B2" w:rsidRPr="00D336B2">
        <w:t xml:space="preserve"> and </w:t>
      </w:r>
      <w:r>
        <w:t>Part-Time Faculty</w:t>
      </w:r>
      <w:r w:rsidR="00D336B2" w:rsidRPr="00D336B2">
        <w:t>.</w:t>
      </w:r>
    </w:p>
    <w:p w:rsidR="00E736E9" w:rsidRDefault="000016D3" w:rsidP="00EA0B4A">
      <w:pPr>
        <w:numPr>
          <w:ilvl w:val="1"/>
          <w:numId w:val="4"/>
        </w:numPr>
      </w:pPr>
      <w:r>
        <w:t>Address Changed</w:t>
      </w:r>
      <w:r w:rsidR="00E736E9">
        <w:t xml:space="preserve">:  </w:t>
      </w:r>
      <w:r>
        <w:t xml:space="preserve">This checkbox is not editable and only is checked if you change any address information.  When the page is loaded the home address of the Faculty member is loaded.  If you modify any of the fields (Address Line 1 or 2, City, State, or Postal Code) this box will be checked when the address is changed.  This will alert the HR Office to send the </w:t>
      </w:r>
      <w:r w:rsidR="001449CD">
        <w:t>Faculty</w:t>
      </w:r>
      <w:r>
        <w:t xml:space="preserve"> the proper paperwork needed to formally change the home address.  </w:t>
      </w:r>
    </w:p>
    <w:p w:rsidR="00E736E9" w:rsidRDefault="000016D3" w:rsidP="00EA0B4A">
      <w:pPr>
        <w:numPr>
          <w:ilvl w:val="1"/>
          <w:numId w:val="4"/>
        </w:numPr>
      </w:pPr>
      <w:r>
        <w:t xml:space="preserve">Department Chair </w:t>
      </w:r>
      <w:proofErr w:type="spellStart"/>
      <w:r>
        <w:t>Emplid</w:t>
      </w:r>
      <w:proofErr w:type="spellEnd"/>
      <w:r>
        <w:t xml:space="preserve"> and Academic Dean </w:t>
      </w:r>
      <w:proofErr w:type="spellStart"/>
      <w:r>
        <w:t>Emplid</w:t>
      </w:r>
      <w:proofErr w:type="spellEnd"/>
      <w:r w:rsidR="00E736E9">
        <w:t xml:space="preserve">:  </w:t>
      </w:r>
      <w:r>
        <w:t>T</w:t>
      </w:r>
      <w:r w:rsidR="0090427D">
        <w:t xml:space="preserve">hese required fields will normally only have one value selectable from the search magnifying glass.  These values are tied to the Department in which the </w:t>
      </w:r>
      <w:r w:rsidR="0085343F">
        <w:t>faculty</w:t>
      </w:r>
      <w:r w:rsidR="0090427D">
        <w:t xml:space="preserve"> will be teaching.  When selected, the email addresses below each </w:t>
      </w:r>
      <w:proofErr w:type="spellStart"/>
      <w:r w:rsidR="0090427D">
        <w:t>emplid</w:t>
      </w:r>
      <w:proofErr w:type="spellEnd"/>
      <w:r w:rsidR="0090427D">
        <w:t xml:space="preserve"> will automatically be populated.</w:t>
      </w:r>
      <w:r w:rsidR="00016587">
        <w:t xml:space="preserve">  If there are no values when you click the magnifying glass contact HR.</w:t>
      </w:r>
    </w:p>
    <w:p w:rsidR="001449CD" w:rsidRDefault="001449CD" w:rsidP="00EA0B4A">
      <w:pPr>
        <w:numPr>
          <w:ilvl w:val="1"/>
          <w:numId w:val="4"/>
        </w:numPr>
      </w:pPr>
      <w:r>
        <w:t xml:space="preserve">The Override buttons allow you to change the values displayed in the fields from #6 above.  For example, clicking the Override Chair Selection </w:t>
      </w:r>
      <w:r>
        <w:lastRenderedPageBreak/>
        <w:t xml:space="preserve">button will allow you to see a list of all current employees when you click on the Department Chair </w:t>
      </w:r>
      <w:proofErr w:type="spellStart"/>
      <w:r>
        <w:t>Emplid</w:t>
      </w:r>
      <w:proofErr w:type="spellEnd"/>
      <w:r>
        <w:t xml:space="preserve"> field lookup (i.e. magnifying glass).</w:t>
      </w:r>
    </w:p>
    <w:p w:rsidR="00E736E9" w:rsidRDefault="006528FD" w:rsidP="00EA0B4A">
      <w:pPr>
        <w:numPr>
          <w:ilvl w:val="1"/>
          <w:numId w:val="4"/>
        </w:numPr>
      </w:pPr>
      <w:r>
        <w:t>Teaching Assignment</w:t>
      </w:r>
      <w:r w:rsidR="00875EC7">
        <w:t xml:space="preserve">:  </w:t>
      </w:r>
      <w:r>
        <w:t>At least one course must be entered in order for the record to be saved</w:t>
      </w:r>
      <w:r w:rsidR="00875EC7">
        <w:t>.</w:t>
      </w:r>
      <w:r>
        <w:t xml:space="preserve">  The courses available via the lookup are based on courses that are currently in the schedule in </w:t>
      </w:r>
      <w:proofErr w:type="spellStart"/>
      <w:r>
        <w:t>GullNet</w:t>
      </w:r>
      <w:proofErr w:type="spellEnd"/>
      <w:r>
        <w:t xml:space="preserve"> for the selected term.  The only field not required for the Spring or Fall semesters is “Total Enrolled” which is only required for the Winter/Summer semesters.  You will notice that a read-only field called Maximum Salary which appears beneath the table totals the salaries in the table above.</w:t>
      </w:r>
    </w:p>
    <w:p w:rsidR="006528FD" w:rsidRDefault="006528FD" w:rsidP="006528FD">
      <w:r>
        <w:rPr>
          <w:noProof/>
        </w:rPr>
        <w:drawing>
          <wp:inline distT="0" distB="0" distL="0" distR="0" wp14:anchorId="3B121137" wp14:editId="5EF2325A">
            <wp:extent cx="5486400" cy="9550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86400" cy="955040"/>
                    </a:xfrm>
                    <a:prstGeom prst="rect">
                      <a:avLst/>
                    </a:prstGeom>
                  </pic:spPr>
                </pic:pic>
              </a:graphicData>
            </a:graphic>
          </wp:inline>
        </w:drawing>
      </w:r>
    </w:p>
    <w:p w:rsidR="006528FD" w:rsidRDefault="006528FD" w:rsidP="006528FD"/>
    <w:p w:rsidR="008F36FB" w:rsidRDefault="00507455" w:rsidP="001059F8">
      <w:pPr>
        <w:numPr>
          <w:ilvl w:val="1"/>
          <w:numId w:val="4"/>
        </w:numPr>
      </w:pPr>
      <w:r>
        <w:t>Additional Requirements and Notes</w:t>
      </w:r>
      <w:r w:rsidR="00875EC7">
        <w:t>:</w:t>
      </w:r>
      <w:r>
        <w:t xml:space="preserve"> These are additional documents required or notes that you can enter that the </w:t>
      </w:r>
      <w:r w:rsidR="0085343F">
        <w:t>Faculty</w:t>
      </w:r>
      <w:r>
        <w:t xml:space="preserve"> will have to provide</w:t>
      </w:r>
      <w:r w:rsidR="008F36FB">
        <w:t xml:space="preserve"> based on their job information (contact HR for further clarification)</w:t>
      </w:r>
      <w:r>
        <w:t>.  Please leave as “None” if no additional documents are required or if you have no notes to make.</w:t>
      </w:r>
      <w:r w:rsidR="008F36FB">
        <w:t xml:space="preserve">  </w:t>
      </w:r>
    </w:p>
    <w:p w:rsidR="008F36FB" w:rsidRDefault="008F36FB" w:rsidP="008F36FB">
      <w:r>
        <w:rPr>
          <w:noProof/>
        </w:rPr>
        <w:drawing>
          <wp:inline distT="0" distB="0" distL="0" distR="0" wp14:anchorId="1F80F006" wp14:editId="1C68A3CB">
            <wp:extent cx="7349156" cy="962025"/>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381961" cy="966319"/>
                    </a:xfrm>
                    <a:prstGeom prst="rect">
                      <a:avLst/>
                    </a:prstGeom>
                  </pic:spPr>
                </pic:pic>
              </a:graphicData>
            </a:graphic>
          </wp:inline>
        </w:drawing>
      </w:r>
    </w:p>
    <w:p w:rsidR="008F36FB" w:rsidRDefault="008F36FB" w:rsidP="008F36FB"/>
    <w:p w:rsidR="006B57A5" w:rsidRDefault="006B57A5" w:rsidP="00754BA1">
      <w:pPr>
        <w:numPr>
          <w:ilvl w:val="1"/>
          <w:numId w:val="4"/>
        </w:numPr>
      </w:pPr>
      <w:r>
        <w:t>This is the current teaching load for the faculty member.</w:t>
      </w:r>
      <w:r w:rsidR="003C384F">
        <w:t xml:space="preserve">  This is loaded from </w:t>
      </w:r>
      <w:proofErr w:type="spellStart"/>
      <w:r w:rsidR="003C384F">
        <w:t>GullNet</w:t>
      </w:r>
      <w:proofErr w:type="spellEnd"/>
      <w:r w:rsidR="003C384F">
        <w:t xml:space="preserve"> when you first go to this page.  It is not refreshed after you save the page.  You may edit any fields in this grid as well as delete courses or add other courses.</w:t>
      </w:r>
      <w:r w:rsidR="0055095A">
        <w:t xml:space="preserve">  </w:t>
      </w:r>
      <w:r w:rsidR="0055095A" w:rsidRPr="0055095A">
        <w:rPr>
          <w:b/>
        </w:rPr>
        <w:t>Importan</w:t>
      </w:r>
      <w:r w:rsidR="0055095A">
        <w:rPr>
          <w:b/>
        </w:rPr>
        <w:t xml:space="preserve">t:  In certain </w:t>
      </w:r>
      <w:proofErr w:type="gramStart"/>
      <w:r w:rsidR="0055095A">
        <w:rPr>
          <w:b/>
        </w:rPr>
        <w:t>situations</w:t>
      </w:r>
      <w:proofErr w:type="gramEnd"/>
      <w:r w:rsidR="0055095A">
        <w:rPr>
          <w:b/>
        </w:rPr>
        <w:t xml:space="preserve"> course/lab combinations will not accurately reflect the true credits/load assigned.  It is </w:t>
      </w:r>
      <w:proofErr w:type="spellStart"/>
      <w:r w:rsidR="0055095A">
        <w:rPr>
          <w:b/>
        </w:rPr>
        <w:t>imperitive</w:t>
      </w:r>
      <w:proofErr w:type="spellEnd"/>
      <w:r w:rsidR="0055095A">
        <w:rPr>
          <w:b/>
        </w:rPr>
        <w:t xml:space="preserve"> that the submitter double check the credits on the faculty schedule and </w:t>
      </w:r>
      <w:r w:rsidR="00754BA1" w:rsidRPr="00754BA1">
        <w:rPr>
          <w:b/>
        </w:rPr>
        <w:t xml:space="preserve">make a correction </w:t>
      </w:r>
      <w:r w:rsidR="00754BA1">
        <w:rPr>
          <w:b/>
        </w:rPr>
        <w:t xml:space="preserve">to </w:t>
      </w:r>
      <w:r w:rsidR="00754BA1" w:rsidRPr="00754BA1">
        <w:rPr>
          <w:b/>
        </w:rPr>
        <w:t xml:space="preserve">the "Number of Hours" </w:t>
      </w:r>
      <w:proofErr w:type="gramStart"/>
      <w:r w:rsidR="00754BA1" w:rsidRPr="00754BA1">
        <w:rPr>
          <w:b/>
        </w:rPr>
        <w:t xml:space="preserve">field, </w:t>
      </w:r>
      <w:r w:rsidR="0055095A">
        <w:rPr>
          <w:b/>
        </w:rPr>
        <w:t xml:space="preserve"> if</w:t>
      </w:r>
      <w:proofErr w:type="gramEnd"/>
      <w:r w:rsidR="0055095A">
        <w:rPr>
          <w:b/>
        </w:rPr>
        <w:t xml:space="preserve"> necessary.</w:t>
      </w:r>
    </w:p>
    <w:p w:rsidR="003C384F" w:rsidRDefault="003C384F" w:rsidP="001059F8">
      <w:pPr>
        <w:numPr>
          <w:ilvl w:val="1"/>
          <w:numId w:val="4"/>
        </w:numPr>
      </w:pPr>
      <w:r>
        <w:t xml:space="preserve">Please use this for any notes related to load that may be important.  </w:t>
      </w:r>
      <w:r w:rsidRPr="003C384F">
        <w:rPr>
          <w:b/>
        </w:rPr>
        <w:t>NOTE:  This will appear on the DocuSign contract</w:t>
      </w:r>
      <w:r>
        <w:t>.</w:t>
      </w:r>
    </w:p>
    <w:p w:rsidR="00875EC7" w:rsidRDefault="008F36FB" w:rsidP="001059F8">
      <w:pPr>
        <w:numPr>
          <w:ilvl w:val="1"/>
          <w:numId w:val="4"/>
        </w:numPr>
      </w:pPr>
      <w:r>
        <w:t xml:space="preserve">Submitted </w:t>
      </w:r>
      <w:proofErr w:type="spellStart"/>
      <w:r>
        <w:t>Oprid</w:t>
      </w:r>
      <w:proofErr w:type="spellEnd"/>
      <w:r>
        <w:t xml:space="preserve"> and Submitted Date</w:t>
      </w:r>
      <w:r w:rsidR="00875EC7">
        <w:t xml:space="preserve">:  </w:t>
      </w:r>
      <w:r>
        <w:t>These read only fields are populated when you submit the contract.</w:t>
      </w:r>
    </w:p>
    <w:p w:rsidR="00016587" w:rsidRDefault="001F6084" w:rsidP="00EA0B4A">
      <w:pPr>
        <w:numPr>
          <w:ilvl w:val="1"/>
          <w:numId w:val="4"/>
        </w:numPr>
      </w:pPr>
      <w:r>
        <w:t xml:space="preserve">The </w:t>
      </w:r>
      <w:r w:rsidR="00BF4394">
        <w:t xml:space="preserve">“Save Before Submitting” button can be pressed to save all your data without submitting the contract process through DocuSign.  The “Submit </w:t>
      </w:r>
      <w:proofErr w:type="gramStart"/>
      <w:r w:rsidR="00BF4394">
        <w:t>For</w:t>
      </w:r>
      <w:proofErr w:type="gramEnd"/>
      <w:r w:rsidR="00BF4394">
        <w:t xml:space="preserve"> Dept </w:t>
      </w:r>
      <w:proofErr w:type="spellStart"/>
      <w:r w:rsidR="00BF4394">
        <w:t>Mgr</w:t>
      </w:r>
      <w:proofErr w:type="spellEnd"/>
      <w:r w:rsidR="00BF4394">
        <w:t xml:space="preserve"> Approval” button actually starts the DocuSign </w:t>
      </w:r>
      <w:r w:rsidR="0091063F">
        <w:t>workflow process.</w:t>
      </w:r>
    </w:p>
    <w:p w:rsidR="009805B1" w:rsidRDefault="009805B1" w:rsidP="00EA0B4A">
      <w:pPr>
        <w:numPr>
          <w:ilvl w:val="1"/>
          <w:numId w:val="4"/>
        </w:numPr>
      </w:pPr>
      <w:r>
        <w:lastRenderedPageBreak/>
        <w:t>This is the rank of the instructor (i.e. Assistant Professor, Associate Professor) and</w:t>
      </w:r>
      <w:r w:rsidR="003C384F">
        <w:t xml:space="preserve"> the employment status (i.e. Full-Time Tenured, Full-Time Tenure Track).  Both are</w:t>
      </w:r>
      <w:r>
        <w:t xml:space="preserve"> required field</w:t>
      </w:r>
      <w:r w:rsidR="003C384F">
        <w:t>s</w:t>
      </w:r>
      <w:r>
        <w:t>.</w:t>
      </w:r>
    </w:p>
    <w:p w:rsidR="00016587" w:rsidRDefault="00016587">
      <w:r>
        <w:br w:type="page"/>
      </w:r>
    </w:p>
    <w:p w:rsidR="001F6084" w:rsidRDefault="001F6084" w:rsidP="00016587"/>
    <w:p w:rsidR="00016587" w:rsidRDefault="00016587" w:rsidP="00016587">
      <w:pPr>
        <w:rPr>
          <w:b/>
          <w:bCs/>
          <w:u w:val="single"/>
        </w:rPr>
      </w:pPr>
      <w:r>
        <w:rPr>
          <w:b/>
          <w:bCs/>
          <w:u w:val="single"/>
        </w:rPr>
        <w:t>HR Instructions</w:t>
      </w:r>
    </w:p>
    <w:p w:rsidR="00016587" w:rsidRDefault="00016587" w:rsidP="00016587">
      <w:pPr>
        <w:rPr>
          <w:b/>
          <w:bCs/>
          <w:u w:val="single"/>
        </w:rPr>
      </w:pPr>
    </w:p>
    <w:p w:rsidR="00016587" w:rsidRDefault="00016587" w:rsidP="00016587">
      <w:pPr>
        <w:rPr>
          <w:bCs/>
        </w:rPr>
      </w:pPr>
      <w:r>
        <w:rPr>
          <w:bCs/>
        </w:rPr>
        <w:t>When the contract “Submission Status</w:t>
      </w:r>
      <w:r w:rsidR="00DB1082">
        <w:rPr>
          <w:bCs/>
        </w:rPr>
        <w:t>:</w:t>
      </w:r>
      <w:r>
        <w:rPr>
          <w:bCs/>
        </w:rPr>
        <w:t>” is “HR Data Input Needed” it is ready for HR submission.  The section below is only visible to HR staff.</w:t>
      </w:r>
    </w:p>
    <w:p w:rsidR="00016587" w:rsidRDefault="00016587" w:rsidP="00016587">
      <w:pPr>
        <w:rPr>
          <w:bCs/>
        </w:rPr>
      </w:pPr>
    </w:p>
    <w:p w:rsidR="001F6084" w:rsidRDefault="00E67229" w:rsidP="00B81984">
      <w:r>
        <w:rPr>
          <w:noProof/>
        </w:rPr>
        <w:drawing>
          <wp:inline distT="0" distB="0" distL="0" distR="0" wp14:anchorId="00719B00" wp14:editId="074F465E">
            <wp:extent cx="5486400" cy="395732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86400" cy="3957320"/>
                    </a:xfrm>
                    <a:prstGeom prst="rect">
                      <a:avLst/>
                    </a:prstGeom>
                  </pic:spPr>
                </pic:pic>
              </a:graphicData>
            </a:graphic>
          </wp:inline>
        </w:drawing>
      </w:r>
    </w:p>
    <w:p w:rsidR="001F6084" w:rsidRDefault="001F6084" w:rsidP="001F6084"/>
    <w:p w:rsidR="00DB1082" w:rsidRDefault="00DB1082" w:rsidP="00DB1082">
      <w:pPr>
        <w:numPr>
          <w:ilvl w:val="0"/>
          <w:numId w:val="4"/>
        </w:numPr>
      </w:pPr>
      <w:r>
        <w:t>The page shown above contains fields which will be used to populate the Job record of the employee when the HR submitter clicks on the “Create JOB Record” button</w:t>
      </w:r>
      <w:r w:rsidR="00E67229">
        <w:t xml:space="preserve"> or the “Create New EMPLRCD Job” button.</w:t>
      </w:r>
    </w:p>
    <w:p w:rsidR="00DB1082" w:rsidRDefault="00DB1082" w:rsidP="00DB1082">
      <w:pPr>
        <w:numPr>
          <w:ilvl w:val="0"/>
          <w:numId w:val="4"/>
        </w:numPr>
      </w:pPr>
      <w:r>
        <w:t xml:space="preserve">Fields </w:t>
      </w:r>
      <w:r w:rsidR="00E67229">
        <w:t>shown on this page containing values</w:t>
      </w:r>
      <w:r>
        <w:t xml:space="preserve"> will be populated from data entered by the contract administrator who started the contract process</w:t>
      </w:r>
      <w:r w:rsidR="00E67229">
        <w:t xml:space="preserve"> as well as programmed default values</w:t>
      </w:r>
      <w:r>
        <w:t>.  HR may still edit these though if they wish.</w:t>
      </w:r>
    </w:p>
    <w:p w:rsidR="00DB1082" w:rsidRDefault="00DB1082" w:rsidP="00DB1082">
      <w:pPr>
        <w:numPr>
          <w:ilvl w:val="0"/>
          <w:numId w:val="4"/>
        </w:numPr>
      </w:pPr>
      <w:r>
        <w:t xml:space="preserve">When the HR submitter clicks on the “Select Job Record” they will see a list of all the highest job rows for each EMPL_RCD for that employee.  Clicking the select button at the end of the row will populate the data for </w:t>
      </w:r>
      <w:r w:rsidR="00E67229">
        <w:t>other fields</w:t>
      </w:r>
      <w:r>
        <w:t>.  These fields are also editable if you wish to use your own values.</w:t>
      </w:r>
    </w:p>
    <w:p w:rsidR="00F659C6" w:rsidRDefault="00DB1082" w:rsidP="00E67229">
      <w:pPr>
        <w:pStyle w:val="ListParagraph"/>
        <w:numPr>
          <w:ilvl w:val="0"/>
          <w:numId w:val="4"/>
        </w:numPr>
      </w:pPr>
      <w:r>
        <w:t xml:space="preserve">Once the </w:t>
      </w:r>
      <w:proofErr w:type="spellStart"/>
      <w:r w:rsidRPr="00DB1082">
        <w:t>the</w:t>
      </w:r>
      <w:proofErr w:type="spellEnd"/>
      <w:r w:rsidRPr="00DB1082">
        <w:t xml:space="preserve"> HR submitter clicks on</w:t>
      </w:r>
      <w:r>
        <w:t xml:space="preserve"> the “Create JOB Record” </w:t>
      </w:r>
      <w:r w:rsidR="00E67229">
        <w:t xml:space="preserve">or </w:t>
      </w:r>
      <w:r w:rsidR="00E67229" w:rsidRPr="00E67229">
        <w:t xml:space="preserve">“Create New EMPLRCD Job” </w:t>
      </w:r>
      <w:r>
        <w:t>button the appropriate the “Job Updated?” check box will become checked and the submission status will be updated to “Commitment Acct Input Needed”, but if there is an error please contact IT</w:t>
      </w:r>
    </w:p>
    <w:p w:rsidR="00E67229" w:rsidRDefault="00E67229" w:rsidP="00E67229">
      <w:pPr>
        <w:pStyle w:val="ListParagraph"/>
        <w:numPr>
          <w:ilvl w:val="0"/>
          <w:numId w:val="4"/>
        </w:numPr>
      </w:pPr>
      <w:r>
        <w:lastRenderedPageBreak/>
        <w:t xml:space="preserve">Finally, if a contract is cancelled HR can click on the “Reverse Cancelled Contract” button to set the contract status back to “Not Submitted”.  This will allow the Admin to edit the contract and resubmit.  This will also create a new envelope in </w:t>
      </w:r>
      <w:proofErr w:type="spellStart"/>
      <w:r>
        <w:t>Docusign</w:t>
      </w:r>
      <w:proofErr w:type="spellEnd"/>
      <w:r>
        <w:t>.</w:t>
      </w:r>
    </w:p>
    <w:p w:rsidR="0057092D" w:rsidRDefault="0057092D" w:rsidP="0057092D"/>
    <w:p w:rsidR="0057092D" w:rsidRDefault="0057092D" w:rsidP="0057092D">
      <w:r>
        <w:t>Updated 9/26/2019</w:t>
      </w:r>
    </w:p>
    <w:sectPr w:rsidR="0057092D" w:rsidSect="000C24D5">
      <w:headerReference w:type="default"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EA9" w:rsidRDefault="00593EA9">
      <w:r>
        <w:separator/>
      </w:r>
    </w:p>
  </w:endnote>
  <w:endnote w:type="continuationSeparator" w:id="0">
    <w:p w:rsidR="00593EA9" w:rsidRDefault="0059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C8A" w:rsidRPr="00AD0506" w:rsidRDefault="001059F8">
    <w:pPr>
      <w:pStyle w:val="Footer"/>
      <w:rPr>
        <w:sz w:val="16"/>
        <w:szCs w:val="16"/>
      </w:rPr>
    </w:pPr>
    <w:r>
      <w:rPr>
        <w:noProof/>
        <w:sz w:val="16"/>
        <w:szCs w:val="16"/>
      </w:rPr>
      <w:fldChar w:fldCharType="begin"/>
    </w:r>
    <w:r>
      <w:rPr>
        <w:noProof/>
        <w:sz w:val="16"/>
        <w:szCs w:val="16"/>
      </w:rPr>
      <w:instrText xml:space="preserve"> FILENAME  \p  \* MERGEFORMAT </w:instrText>
    </w:r>
    <w:r>
      <w:rPr>
        <w:noProof/>
        <w:sz w:val="16"/>
        <w:szCs w:val="16"/>
      </w:rPr>
      <w:fldChar w:fldCharType="separate"/>
    </w:r>
    <w:r w:rsidR="009C7F5F">
      <w:rPr>
        <w:noProof/>
        <w:sz w:val="16"/>
        <w:szCs w:val="16"/>
      </w:rPr>
      <w:fldChar w:fldCharType="begin"/>
    </w:r>
    <w:r w:rsidR="009C7F5F">
      <w:rPr>
        <w:noProof/>
        <w:sz w:val="16"/>
        <w:szCs w:val="16"/>
      </w:rPr>
      <w:instrText xml:space="preserve"> FILENAME  \p  \* MERGEFORMAT </w:instrText>
    </w:r>
    <w:r w:rsidR="009C7F5F">
      <w:rPr>
        <w:noProof/>
        <w:sz w:val="16"/>
        <w:szCs w:val="16"/>
      </w:rPr>
      <w:fldChar w:fldCharType="separate"/>
    </w:r>
    <w:r w:rsidR="009C7F5F">
      <w:rPr>
        <w:noProof/>
        <w:sz w:val="16"/>
        <w:szCs w:val="16"/>
      </w:rPr>
      <w:t>O:\Developers\Documentation\HR\PUR0802-3 Regular Faculty Overload\PUR0802-3 Regular Faculty Overload Contract Submitter User Doc1.docx</w:t>
    </w:r>
    <w:r w:rsidR="009C7F5F">
      <w:rPr>
        <w:noProof/>
        <w:sz w:val="16"/>
        <w:szCs w:val="16"/>
      </w:rPr>
      <w:fldChar w:fldCharType="end"/>
    </w:r>
    <w:r w:rsidR="009C7F5F">
      <w:rPr>
        <w:noProof/>
        <w:sz w:val="16"/>
        <w:szCs w:val="16"/>
      </w:rPr>
      <w:t xml:space="preserve"> </w:t>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EA9" w:rsidRDefault="00593EA9">
      <w:r>
        <w:separator/>
      </w:r>
    </w:p>
  </w:footnote>
  <w:footnote w:type="continuationSeparator" w:id="0">
    <w:p w:rsidR="00593EA9" w:rsidRDefault="00593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C8A" w:rsidRDefault="003C1C8A" w:rsidP="001C55CF">
    <w:pPr>
      <w:pStyle w:val="Header"/>
      <w:rPr>
        <w:b/>
      </w:rPr>
    </w:pPr>
    <w:r>
      <w:rPr>
        <w:b/>
      </w:rPr>
      <w:t xml:space="preserve"> </w:t>
    </w:r>
    <w:r>
      <w:rPr>
        <w:noProof/>
      </w:rPr>
      <w:drawing>
        <wp:inline distT="0" distB="0" distL="0" distR="0" wp14:anchorId="49F76F42" wp14:editId="3474195C">
          <wp:extent cx="1371600" cy="431165"/>
          <wp:effectExtent l="19050" t="0" r="0" b="0"/>
          <wp:docPr id="2" name="Picture 2" descr="s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logo"/>
                  <pic:cNvPicPr>
                    <a:picLocks noChangeAspect="1" noChangeArrowheads="1"/>
                  </pic:cNvPicPr>
                </pic:nvPicPr>
                <pic:blipFill>
                  <a:blip r:embed="rId1"/>
                  <a:srcRect/>
                  <a:stretch>
                    <a:fillRect/>
                  </a:stretch>
                </pic:blipFill>
                <pic:spPr bwMode="auto">
                  <a:xfrm>
                    <a:off x="0" y="0"/>
                    <a:ext cx="1371600" cy="431165"/>
                  </a:xfrm>
                  <a:prstGeom prst="rect">
                    <a:avLst/>
                  </a:prstGeom>
                  <a:noFill/>
                  <a:ln w="9525">
                    <a:noFill/>
                    <a:miter lim="800000"/>
                    <a:headEnd/>
                    <a:tailEnd/>
                  </a:ln>
                </pic:spPr>
              </pic:pic>
            </a:graphicData>
          </a:graphic>
        </wp:inline>
      </w:drawing>
    </w:r>
    <w:r>
      <w:tab/>
    </w:r>
    <w:r>
      <w:tab/>
    </w:r>
    <w:r w:rsidRPr="00B02998">
      <w:rPr>
        <w:b/>
      </w:rPr>
      <w:t xml:space="preserve">Page </w:t>
    </w:r>
    <w:r w:rsidRPr="00B02998">
      <w:rPr>
        <w:b/>
      </w:rPr>
      <w:fldChar w:fldCharType="begin"/>
    </w:r>
    <w:r w:rsidRPr="00B02998">
      <w:rPr>
        <w:b/>
      </w:rPr>
      <w:instrText xml:space="preserve"> PAGE </w:instrText>
    </w:r>
    <w:r w:rsidRPr="00B02998">
      <w:rPr>
        <w:b/>
      </w:rPr>
      <w:fldChar w:fldCharType="separate"/>
    </w:r>
    <w:r w:rsidR="00632F66">
      <w:rPr>
        <w:b/>
        <w:noProof/>
      </w:rPr>
      <w:t>2</w:t>
    </w:r>
    <w:r w:rsidRPr="00B02998">
      <w:rPr>
        <w:b/>
      </w:rPr>
      <w:fldChar w:fldCharType="end"/>
    </w:r>
    <w:r w:rsidRPr="00B02998">
      <w:rPr>
        <w:b/>
      </w:rPr>
      <w:t xml:space="preserve"> of </w:t>
    </w:r>
    <w:r w:rsidRPr="00B02998">
      <w:rPr>
        <w:b/>
      </w:rPr>
      <w:fldChar w:fldCharType="begin"/>
    </w:r>
    <w:r w:rsidRPr="00B02998">
      <w:rPr>
        <w:b/>
      </w:rPr>
      <w:instrText xml:space="preserve"> NUMPAGES </w:instrText>
    </w:r>
    <w:r w:rsidRPr="00B02998">
      <w:rPr>
        <w:b/>
      </w:rPr>
      <w:fldChar w:fldCharType="separate"/>
    </w:r>
    <w:r w:rsidR="00632F66">
      <w:rPr>
        <w:b/>
        <w:noProof/>
      </w:rPr>
      <w:t>12</w:t>
    </w:r>
    <w:r w:rsidRPr="00B02998">
      <w:rPr>
        <w:b/>
      </w:rPr>
      <w:fldChar w:fldCharType="end"/>
    </w:r>
  </w:p>
  <w:p w:rsidR="003C1C8A" w:rsidRPr="001C55CF" w:rsidRDefault="003C1C8A" w:rsidP="001C55CF">
    <w:pPr>
      <w:pStyle w:val="Header"/>
      <w:jc w:val="center"/>
      <w:rPr>
        <w:b/>
      </w:rPr>
    </w:pPr>
  </w:p>
  <w:p w:rsidR="003C1C8A" w:rsidRPr="00ED7E11" w:rsidRDefault="003C1C8A" w:rsidP="00281A34">
    <w:pPr>
      <w:outlineLvl w:val="0"/>
      <w:rPr>
        <w:u w:val="thick"/>
      </w:rPr>
    </w:pPr>
    <w:r>
      <w:rPr>
        <w:b/>
      </w:rPr>
      <w:t xml:space="preserve">TOPIC:          </w:t>
    </w:r>
    <w:r w:rsidR="009C7F5F">
      <w:t>PS</w:t>
    </w:r>
    <w:r w:rsidRPr="00774E68">
      <w:t xml:space="preserve"> </w:t>
    </w:r>
    <w:r>
      <w:t xml:space="preserve">Custom Bolt-on </w:t>
    </w:r>
    <w:r w:rsidR="009C7F5F">
      <w:t>Regular Faculty Overload Contract</w:t>
    </w:r>
    <w:r w:rsidR="008C530C">
      <w:t xml:space="preserve"> - Submitter</w:t>
    </w:r>
  </w:p>
  <w:p w:rsidR="003C1C8A" w:rsidRPr="00ED7E11" w:rsidRDefault="003C1C8A">
    <w:pPr>
      <w:pStyle w:val="Header"/>
      <w:rPr>
        <w:u w:val="thick"/>
      </w:rPr>
    </w:pPr>
    <w:r w:rsidRPr="00ED7E11">
      <w:rPr>
        <w:u w:val="thick"/>
      </w:rPr>
      <w:tab/>
    </w:r>
    <w:r>
      <w:rPr>
        <w:u w:val="thick"/>
      </w:rPr>
      <w:t>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52174"/>
    <w:multiLevelType w:val="hybridMultilevel"/>
    <w:tmpl w:val="09266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22F34"/>
    <w:multiLevelType w:val="hybridMultilevel"/>
    <w:tmpl w:val="5F6E7CD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B63C68"/>
    <w:multiLevelType w:val="hybridMultilevel"/>
    <w:tmpl w:val="DAF203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4B253B"/>
    <w:multiLevelType w:val="hybridMultilevel"/>
    <w:tmpl w:val="7F205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C6305"/>
    <w:multiLevelType w:val="hybridMultilevel"/>
    <w:tmpl w:val="840E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275C3"/>
    <w:multiLevelType w:val="hybridMultilevel"/>
    <w:tmpl w:val="C84457CA"/>
    <w:lvl w:ilvl="0" w:tplc="04090001">
      <w:start w:val="1"/>
      <w:numFmt w:val="bullet"/>
      <w:lvlText w:val=""/>
      <w:lvlJc w:val="left"/>
      <w:pPr>
        <w:ind w:left="720" w:hanging="360"/>
      </w:pPr>
      <w:rPr>
        <w:rFonts w:ascii="Symbol" w:hAnsi="Symbol" w:hint="default"/>
      </w:rPr>
    </w:lvl>
    <w:lvl w:ilvl="1" w:tplc="B874DAFA">
      <w:start w:val="1"/>
      <w:numFmt w:val="decimal"/>
      <w:lvlText w:val="%2."/>
      <w:lvlJc w:val="left"/>
      <w:pPr>
        <w:ind w:left="1440" w:hanging="360"/>
      </w:pPr>
      <w:rPr>
        <w:rFonts w:ascii="Times New Roman" w:eastAsia="Times New Roman"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D430B9"/>
    <w:multiLevelType w:val="hybridMultilevel"/>
    <w:tmpl w:val="7F205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DF31EA"/>
    <w:multiLevelType w:val="hybridMultilevel"/>
    <w:tmpl w:val="59E63E66"/>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403B2B"/>
    <w:multiLevelType w:val="hybridMultilevel"/>
    <w:tmpl w:val="35DCC1A6"/>
    <w:lvl w:ilvl="0" w:tplc="04090011">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606760"/>
    <w:multiLevelType w:val="hybridMultilevel"/>
    <w:tmpl w:val="35DCC1A6"/>
    <w:lvl w:ilvl="0" w:tplc="04090011">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187B7F"/>
    <w:multiLevelType w:val="hybridMultilevel"/>
    <w:tmpl w:val="3AFC40F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F5393B"/>
    <w:multiLevelType w:val="hybridMultilevel"/>
    <w:tmpl w:val="35DCC1A6"/>
    <w:lvl w:ilvl="0" w:tplc="04090011">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114E80"/>
    <w:multiLevelType w:val="hybridMultilevel"/>
    <w:tmpl w:val="35DCC1A6"/>
    <w:lvl w:ilvl="0" w:tplc="04090011">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316B3C"/>
    <w:multiLevelType w:val="hybridMultilevel"/>
    <w:tmpl w:val="4648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D750A"/>
    <w:multiLevelType w:val="hybridMultilevel"/>
    <w:tmpl w:val="35DCC1A6"/>
    <w:lvl w:ilvl="0" w:tplc="04090011">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6"/>
  </w:num>
  <w:num w:numId="4">
    <w:abstractNumId w:val="5"/>
  </w:num>
  <w:num w:numId="5">
    <w:abstractNumId w:val="2"/>
  </w:num>
  <w:num w:numId="6">
    <w:abstractNumId w:val="3"/>
  </w:num>
  <w:num w:numId="7">
    <w:abstractNumId w:val="8"/>
  </w:num>
  <w:num w:numId="8">
    <w:abstractNumId w:val="1"/>
  </w:num>
  <w:num w:numId="9">
    <w:abstractNumId w:val="12"/>
  </w:num>
  <w:num w:numId="10">
    <w:abstractNumId w:val="11"/>
  </w:num>
  <w:num w:numId="11">
    <w:abstractNumId w:val="4"/>
  </w:num>
  <w:num w:numId="12">
    <w:abstractNumId w:val="13"/>
  </w:num>
  <w:num w:numId="13">
    <w:abstractNumId w:val="9"/>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4951db79-0ca4-458d-829d-687f7d10b2c3"/>
  </w:docVars>
  <w:rsids>
    <w:rsidRoot w:val="001C55CF"/>
    <w:rsid w:val="000016D3"/>
    <w:rsid w:val="000130E8"/>
    <w:rsid w:val="00016587"/>
    <w:rsid w:val="00036418"/>
    <w:rsid w:val="00036B23"/>
    <w:rsid w:val="000401E2"/>
    <w:rsid w:val="0005655F"/>
    <w:rsid w:val="00061F3C"/>
    <w:rsid w:val="00074E3A"/>
    <w:rsid w:val="000934DA"/>
    <w:rsid w:val="000B163F"/>
    <w:rsid w:val="000C24D5"/>
    <w:rsid w:val="000D3B16"/>
    <w:rsid w:val="000E7966"/>
    <w:rsid w:val="00101864"/>
    <w:rsid w:val="0010285B"/>
    <w:rsid w:val="001059F8"/>
    <w:rsid w:val="00117C90"/>
    <w:rsid w:val="00117E82"/>
    <w:rsid w:val="001320A6"/>
    <w:rsid w:val="00132119"/>
    <w:rsid w:val="00132C04"/>
    <w:rsid w:val="00134627"/>
    <w:rsid w:val="00143D29"/>
    <w:rsid w:val="001449CD"/>
    <w:rsid w:val="001453D0"/>
    <w:rsid w:val="00167195"/>
    <w:rsid w:val="001849F1"/>
    <w:rsid w:val="001C3EE5"/>
    <w:rsid w:val="001C55CF"/>
    <w:rsid w:val="001D311F"/>
    <w:rsid w:val="001D39D0"/>
    <w:rsid w:val="001E508F"/>
    <w:rsid w:val="001F57A9"/>
    <w:rsid w:val="001F5DA2"/>
    <w:rsid w:val="001F6084"/>
    <w:rsid w:val="002343AC"/>
    <w:rsid w:val="002479FA"/>
    <w:rsid w:val="002639E6"/>
    <w:rsid w:val="00281A34"/>
    <w:rsid w:val="002861B2"/>
    <w:rsid w:val="002A6FFE"/>
    <w:rsid w:val="002B5960"/>
    <w:rsid w:val="002C756D"/>
    <w:rsid w:val="002D5374"/>
    <w:rsid w:val="002D64D8"/>
    <w:rsid w:val="002D6B1D"/>
    <w:rsid w:val="002E69B4"/>
    <w:rsid w:val="002E7AC2"/>
    <w:rsid w:val="002F2512"/>
    <w:rsid w:val="002F35B0"/>
    <w:rsid w:val="002F5E92"/>
    <w:rsid w:val="002F7A09"/>
    <w:rsid w:val="003025B2"/>
    <w:rsid w:val="00322020"/>
    <w:rsid w:val="00322BA8"/>
    <w:rsid w:val="00323D3C"/>
    <w:rsid w:val="00353645"/>
    <w:rsid w:val="00354767"/>
    <w:rsid w:val="00355727"/>
    <w:rsid w:val="00362998"/>
    <w:rsid w:val="003638A1"/>
    <w:rsid w:val="003667CB"/>
    <w:rsid w:val="00395770"/>
    <w:rsid w:val="003B1045"/>
    <w:rsid w:val="003B1E98"/>
    <w:rsid w:val="003C0F82"/>
    <w:rsid w:val="003C1C8A"/>
    <w:rsid w:val="003C2DEF"/>
    <w:rsid w:val="003C384F"/>
    <w:rsid w:val="003D0486"/>
    <w:rsid w:val="003D0F2D"/>
    <w:rsid w:val="003D36A4"/>
    <w:rsid w:val="003D7839"/>
    <w:rsid w:val="004125F5"/>
    <w:rsid w:val="0041364B"/>
    <w:rsid w:val="004155E5"/>
    <w:rsid w:val="00420207"/>
    <w:rsid w:val="00440FC1"/>
    <w:rsid w:val="004533B9"/>
    <w:rsid w:val="00467FD8"/>
    <w:rsid w:val="004761FF"/>
    <w:rsid w:val="004772AE"/>
    <w:rsid w:val="004903A7"/>
    <w:rsid w:val="00497D7F"/>
    <w:rsid w:val="004A3AFC"/>
    <w:rsid w:val="004B0989"/>
    <w:rsid w:val="004C23B5"/>
    <w:rsid w:val="004C243D"/>
    <w:rsid w:val="004D4F29"/>
    <w:rsid w:val="00501B44"/>
    <w:rsid w:val="00505A1A"/>
    <w:rsid w:val="00507455"/>
    <w:rsid w:val="005156A5"/>
    <w:rsid w:val="00523C67"/>
    <w:rsid w:val="00524A4C"/>
    <w:rsid w:val="005278FC"/>
    <w:rsid w:val="0053023F"/>
    <w:rsid w:val="00534EC5"/>
    <w:rsid w:val="00540F72"/>
    <w:rsid w:val="0055095A"/>
    <w:rsid w:val="0056753F"/>
    <w:rsid w:val="00567E5D"/>
    <w:rsid w:val="0057092D"/>
    <w:rsid w:val="00571A69"/>
    <w:rsid w:val="00590D8E"/>
    <w:rsid w:val="00593EA9"/>
    <w:rsid w:val="00594AFD"/>
    <w:rsid w:val="005A6899"/>
    <w:rsid w:val="005B5CF3"/>
    <w:rsid w:val="005B6AF8"/>
    <w:rsid w:val="005C094A"/>
    <w:rsid w:val="005C25A8"/>
    <w:rsid w:val="005C585E"/>
    <w:rsid w:val="005E0A49"/>
    <w:rsid w:val="005E6CCE"/>
    <w:rsid w:val="00603EAA"/>
    <w:rsid w:val="00615647"/>
    <w:rsid w:val="006314FF"/>
    <w:rsid w:val="00632F66"/>
    <w:rsid w:val="00635F11"/>
    <w:rsid w:val="006528FD"/>
    <w:rsid w:val="00666518"/>
    <w:rsid w:val="00667A80"/>
    <w:rsid w:val="006875FD"/>
    <w:rsid w:val="00692E9E"/>
    <w:rsid w:val="006B57A5"/>
    <w:rsid w:val="006B76BA"/>
    <w:rsid w:val="006C3D7E"/>
    <w:rsid w:val="00703854"/>
    <w:rsid w:val="00754BA1"/>
    <w:rsid w:val="00756440"/>
    <w:rsid w:val="007727D9"/>
    <w:rsid w:val="00774E68"/>
    <w:rsid w:val="00780A99"/>
    <w:rsid w:val="00784B25"/>
    <w:rsid w:val="0079441A"/>
    <w:rsid w:val="007A5B5D"/>
    <w:rsid w:val="007B2307"/>
    <w:rsid w:val="007B232D"/>
    <w:rsid w:val="007C1A3E"/>
    <w:rsid w:val="007C1B82"/>
    <w:rsid w:val="007E37DD"/>
    <w:rsid w:val="007F69F9"/>
    <w:rsid w:val="00806BF3"/>
    <w:rsid w:val="00810EF1"/>
    <w:rsid w:val="00815032"/>
    <w:rsid w:val="0081638F"/>
    <w:rsid w:val="0082586E"/>
    <w:rsid w:val="00832679"/>
    <w:rsid w:val="008337DD"/>
    <w:rsid w:val="0083554B"/>
    <w:rsid w:val="00846F8F"/>
    <w:rsid w:val="0085343F"/>
    <w:rsid w:val="008648F9"/>
    <w:rsid w:val="008660A4"/>
    <w:rsid w:val="00875EC7"/>
    <w:rsid w:val="00884C7F"/>
    <w:rsid w:val="008911FC"/>
    <w:rsid w:val="008A0C95"/>
    <w:rsid w:val="008C530C"/>
    <w:rsid w:val="008D4951"/>
    <w:rsid w:val="008F000D"/>
    <w:rsid w:val="008F36FB"/>
    <w:rsid w:val="00904136"/>
    <w:rsid w:val="0090427D"/>
    <w:rsid w:val="0091063F"/>
    <w:rsid w:val="009126D7"/>
    <w:rsid w:val="00914F50"/>
    <w:rsid w:val="0091651A"/>
    <w:rsid w:val="0092538A"/>
    <w:rsid w:val="00934889"/>
    <w:rsid w:val="009502DB"/>
    <w:rsid w:val="00951BCC"/>
    <w:rsid w:val="00953382"/>
    <w:rsid w:val="009612B7"/>
    <w:rsid w:val="00973B74"/>
    <w:rsid w:val="009805B1"/>
    <w:rsid w:val="009A3B6F"/>
    <w:rsid w:val="009A452B"/>
    <w:rsid w:val="009B209C"/>
    <w:rsid w:val="009B6F09"/>
    <w:rsid w:val="009B7377"/>
    <w:rsid w:val="009C0764"/>
    <w:rsid w:val="009C7F5F"/>
    <w:rsid w:val="00A16D99"/>
    <w:rsid w:val="00A25ED7"/>
    <w:rsid w:val="00A41F16"/>
    <w:rsid w:val="00A43CBC"/>
    <w:rsid w:val="00A53AA1"/>
    <w:rsid w:val="00A64C76"/>
    <w:rsid w:val="00A65593"/>
    <w:rsid w:val="00A8285D"/>
    <w:rsid w:val="00A941C4"/>
    <w:rsid w:val="00AA180E"/>
    <w:rsid w:val="00AC426D"/>
    <w:rsid w:val="00AD0506"/>
    <w:rsid w:val="00AE2DCD"/>
    <w:rsid w:val="00AF6E00"/>
    <w:rsid w:val="00B02998"/>
    <w:rsid w:val="00B265EF"/>
    <w:rsid w:val="00B430A8"/>
    <w:rsid w:val="00B473D3"/>
    <w:rsid w:val="00B63B90"/>
    <w:rsid w:val="00B67CB5"/>
    <w:rsid w:val="00B74E5C"/>
    <w:rsid w:val="00B81984"/>
    <w:rsid w:val="00B85B5C"/>
    <w:rsid w:val="00B95820"/>
    <w:rsid w:val="00B95870"/>
    <w:rsid w:val="00B975BE"/>
    <w:rsid w:val="00BA3E3B"/>
    <w:rsid w:val="00BD4BBD"/>
    <w:rsid w:val="00BD5C62"/>
    <w:rsid w:val="00BF4394"/>
    <w:rsid w:val="00C03850"/>
    <w:rsid w:val="00C0760C"/>
    <w:rsid w:val="00C240ED"/>
    <w:rsid w:val="00C26D67"/>
    <w:rsid w:val="00C50328"/>
    <w:rsid w:val="00C629D6"/>
    <w:rsid w:val="00C765F9"/>
    <w:rsid w:val="00C8254F"/>
    <w:rsid w:val="00C82B65"/>
    <w:rsid w:val="00CD15B1"/>
    <w:rsid w:val="00CD2A06"/>
    <w:rsid w:val="00CE6430"/>
    <w:rsid w:val="00D238F3"/>
    <w:rsid w:val="00D24B0F"/>
    <w:rsid w:val="00D2645F"/>
    <w:rsid w:val="00D336B2"/>
    <w:rsid w:val="00D3591B"/>
    <w:rsid w:val="00D4040E"/>
    <w:rsid w:val="00D42E34"/>
    <w:rsid w:val="00D669DB"/>
    <w:rsid w:val="00D82770"/>
    <w:rsid w:val="00D854A4"/>
    <w:rsid w:val="00D87E99"/>
    <w:rsid w:val="00D90BA2"/>
    <w:rsid w:val="00D965A7"/>
    <w:rsid w:val="00D977CE"/>
    <w:rsid w:val="00DB1082"/>
    <w:rsid w:val="00DB1519"/>
    <w:rsid w:val="00DB7974"/>
    <w:rsid w:val="00DD25B2"/>
    <w:rsid w:val="00DD7681"/>
    <w:rsid w:val="00DD7A38"/>
    <w:rsid w:val="00DF4D63"/>
    <w:rsid w:val="00E00C71"/>
    <w:rsid w:val="00E30C22"/>
    <w:rsid w:val="00E41653"/>
    <w:rsid w:val="00E67229"/>
    <w:rsid w:val="00E736E9"/>
    <w:rsid w:val="00E758D4"/>
    <w:rsid w:val="00E80767"/>
    <w:rsid w:val="00E90385"/>
    <w:rsid w:val="00E90BAC"/>
    <w:rsid w:val="00E92057"/>
    <w:rsid w:val="00E94DF6"/>
    <w:rsid w:val="00EA0B4A"/>
    <w:rsid w:val="00EA5C22"/>
    <w:rsid w:val="00EB3DF2"/>
    <w:rsid w:val="00EB742E"/>
    <w:rsid w:val="00ED7E11"/>
    <w:rsid w:val="00EF6658"/>
    <w:rsid w:val="00F133DE"/>
    <w:rsid w:val="00F33F50"/>
    <w:rsid w:val="00F37E87"/>
    <w:rsid w:val="00F53EFD"/>
    <w:rsid w:val="00F559E1"/>
    <w:rsid w:val="00F62B61"/>
    <w:rsid w:val="00F659C6"/>
    <w:rsid w:val="00F71C74"/>
    <w:rsid w:val="00F821C7"/>
    <w:rsid w:val="00F8480D"/>
    <w:rsid w:val="00FA6378"/>
    <w:rsid w:val="00FB5EF4"/>
    <w:rsid w:val="00FB62F3"/>
    <w:rsid w:val="00FB7DC5"/>
    <w:rsid w:val="00FD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642436"/>
  <w15:docId w15:val="{63D21A48-210B-47C9-953C-B7AD916B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753F"/>
    <w:rPr>
      <w:sz w:val="24"/>
      <w:szCs w:val="24"/>
    </w:rPr>
  </w:style>
  <w:style w:type="paragraph" w:styleId="Heading1">
    <w:name w:val="heading 1"/>
    <w:basedOn w:val="Normal"/>
    <w:next w:val="Normal"/>
    <w:link w:val="Heading1Char"/>
    <w:qFormat/>
    <w:rsid w:val="002639E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2639E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639E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55CF"/>
    <w:pPr>
      <w:tabs>
        <w:tab w:val="center" w:pos="4320"/>
        <w:tab w:val="right" w:pos="8640"/>
      </w:tabs>
    </w:pPr>
  </w:style>
  <w:style w:type="paragraph" w:styleId="Footer">
    <w:name w:val="footer"/>
    <w:basedOn w:val="Normal"/>
    <w:rsid w:val="001C55CF"/>
    <w:pPr>
      <w:tabs>
        <w:tab w:val="center" w:pos="4320"/>
        <w:tab w:val="right" w:pos="8640"/>
      </w:tabs>
    </w:pPr>
  </w:style>
  <w:style w:type="table" w:styleId="TableGrid">
    <w:name w:val="Table Grid"/>
    <w:basedOn w:val="TableNormal"/>
    <w:rsid w:val="00774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74E68"/>
    <w:pPr>
      <w:shd w:val="clear" w:color="auto" w:fill="000080"/>
    </w:pPr>
    <w:rPr>
      <w:rFonts w:ascii="Tahoma" w:hAnsi="Tahoma" w:cs="Tahoma"/>
      <w:sz w:val="20"/>
      <w:szCs w:val="20"/>
    </w:rPr>
  </w:style>
  <w:style w:type="character" w:styleId="Hyperlink">
    <w:name w:val="Hyperlink"/>
    <w:basedOn w:val="DefaultParagraphFont"/>
    <w:uiPriority w:val="99"/>
    <w:rsid w:val="00E90385"/>
    <w:rPr>
      <w:color w:val="0000FF"/>
      <w:u w:val="single"/>
    </w:rPr>
  </w:style>
  <w:style w:type="paragraph" w:styleId="ListParagraph">
    <w:name w:val="List Paragraph"/>
    <w:basedOn w:val="Normal"/>
    <w:uiPriority w:val="34"/>
    <w:qFormat/>
    <w:rsid w:val="0010285B"/>
    <w:pPr>
      <w:ind w:left="720"/>
    </w:pPr>
  </w:style>
  <w:style w:type="character" w:customStyle="1" w:styleId="Heading1Char">
    <w:name w:val="Heading 1 Char"/>
    <w:basedOn w:val="DefaultParagraphFont"/>
    <w:link w:val="Heading1"/>
    <w:rsid w:val="002639E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639E6"/>
    <w:pPr>
      <w:keepLines/>
      <w:spacing w:before="480" w:after="0" w:line="276" w:lineRule="auto"/>
      <w:outlineLvl w:val="9"/>
    </w:pPr>
    <w:rPr>
      <w:color w:val="365F91"/>
      <w:kern w:val="0"/>
      <w:sz w:val="28"/>
      <w:szCs w:val="28"/>
    </w:rPr>
  </w:style>
  <w:style w:type="character" w:styleId="Strong">
    <w:name w:val="Strong"/>
    <w:basedOn w:val="DefaultParagraphFont"/>
    <w:qFormat/>
    <w:rsid w:val="002639E6"/>
    <w:rPr>
      <w:b/>
      <w:bCs/>
    </w:rPr>
  </w:style>
  <w:style w:type="paragraph" w:styleId="TOC1">
    <w:name w:val="toc 1"/>
    <w:basedOn w:val="Normal"/>
    <w:next w:val="Normal"/>
    <w:autoRedefine/>
    <w:uiPriority w:val="39"/>
    <w:rsid w:val="002639E6"/>
  </w:style>
  <w:style w:type="paragraph" w:styleId="Title">
    <w:name w:val="Title"/>
    <w:basedOn w:val="Normal"/>
    <w:next w:val="Normal"/>
    <w:link w:val="TitleChar"/>
    <w:qFormat/>
    <w:rsid w:val="002639E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2639E6"/>
    <w:rPr>
      <w:rFonts w:ascii="Cambria" w:eastAsia="Times New Roman" w:hAnsi="Cambria" w:cs="Times New Roman"/>
      <w:b/>
      <w:bCs/>
      <w:kern w:val="28"/>
      <w:sz w:val="32"/>
      <w:szCs w:val="32"/>
    </w:rPr>
  </w:style>
  <w:style w:type="character" w:styleId="SubtleReference">
    <w:name w:val="Subtle Reference"/>
    <w:basedOn w:val="DefaultParagraphFont"/>
    <w:uiPriority w:val="31"/>
    <w:qFormat/>
    <w:rsid w:val="002639E6"/>
    <w:rPr>
      <w:smallCaps/>
      <w:color w:val="C0504D"/>
      <w:u w:val="single"/>
    </w:rPr>
  </w:style>
  <w:style w:type="character" w:customStyle="1" w:styleId="Heading2Char">
    <w:name w:val="Heading 2 Char"/>
    <w:basedOn w:val="DefaultParagraphFont"/>
    <w:link w:val="Heading2"/>
    <w:rsid w:val="002639E6"/>
    <w:rPr>
      <w:rFonts w:ascii="Cambria" w:eastAsia="Times New Roman" w:hAnsi="Cambria" w:cs="Times New Roman"/>
      <w:b/>
      <w:bCs/>
      <w:i/>
      <w:iCs/>
      <w:sz w:val="28"/>
      <w:szCs w:val="28"/>
    </w:rPr>
  </w:style>
  <w:style w:type="paragraph" w:styleId="TOC2">
    <w:name w:val="toc 2"/>
    <w:basedOn w:val="Normal"/>
    <w:next w:val="Normal"/>
    <w:autoRedefine/>
    <w:uiPriority w:val="39"/>
    <w:rsid w:val="002639E6"/>
    <w:pPr>
      <w:ind w:left="240"/>
    </w:pPr>
  </w:style>
  <w:style w:type="character" w:customStyle="1" w:styleId="Heading3Char">
    <w:name w:val="Heading 3 Char"/>
    <w:basedOn w:val="DefaultParagraphFont"/>
    <w:link w:val="Heading3"/>
    <w:semiHidden/>
    <w:rsid w:val="002639E6"/>
    <w:rPr>
      <w:rFonts w:ascii="Cambria" w:eastAsia="Times New Roman" w:hAnsi="Cambria" w:cs="Times New Roman"/>
      <w:b/>
      <w:bCs/>
      <w:sz w:val="26"/>
      <w:szCs w:val="26"/>
    </w:rPr>
  </w:style>
  <w:style w:type="paragraph" w:styleId="TOC3">
    <w:name w:val="toc 3"/>
    <w:basedOn w:val="Normal"/>
    <w:next w:val="Normal"/>
    <w:autoRedefine/>
    <w:uiPriority w:val="39"/>
    <w:rsid w:val="002639E6"/>
    <w:pPr>
      <w:ind w:left="480"/>
    </w:pPr>
  </w:style>
  <w:style w:type="paragraph" w:styleId="NoSpacing">
    <w:name w:val="No Spacing"/>
    <w:uiPriority w:val="1"/>
    <w:qFormat/>
    <w:rsid w:val="002639E6"/>
    <w:rPr>
      <w:sz w:val="24"/>
      <w:szCs w:val="24"/>
    </w:rPr>
  </w:style>
  <w:style w:type="character" w:styleId="IntenseReference">
    <w:name w:val="Intense Reference"/>
    <w:basedOn w:val="DefaultParagraphFont"/>
    <w:uiPriority w:val="32"/>
    <w:qFormat/>
    <w:rsid w:val="002639E6"/>
    <w:rPr>
      <w:b/>
      <w:bCs/>
      <w:smallCaps/>
      <w:color w:val="C0504D"/>
      <w:spacing w:val="5"/>
      <w:u w:val="single"/>
    </w:rPr>
  </w:style>
  <w:style w:type="paragraph" w:styleId="Subtitle">
    <w:name w:val="Subtitle"/>
    <w:basedOn w:val="Normal"/>
    <w:next w:val="Normal"/>
    <w:link w:val="SubtitleChar"/>
    <w:qFormat/>
    <w:rsid w:val="002639E6"/>
    <w:pPr>
      <w:spacing w:after="60"/>
      <w:jc w:val="center"/>
      <w:outlineLvl w:val="1"/>
    </w:pPr>
    <w:rPr>
      <w:rFonts w:ascii="Cambria" w:hAnsi="Cambria"/>
    </w:rPr>
  </w:style>
  <w:style w:type="character" w:customStyle="1" w:styleId="SubtitleChar">
    <w:name w:val="Subtitle Char"/>
    <w:basedOn w:val="DefaultParagraphFont"/>
    <w:link w:val="Subtitle"/>
    <w:rsid w:val="002639E6"/>
    <w:rPr>
      <w:rFonts w:ascii="Cambria" w:eastAsia="Times New Roman" w:hAnsi="Cambria" w:cs="Times New Roman"/>
      <w:sz w:val="24"/>
      <w:szCs w:val="24"/>
    </w:rPr>
  </w:style>
  <w:style w:type="character" w:styleId="Emphasis">
    <w:name w:val="Emphasis"/>
    <w:basedOn w:val="DefaultParagraphFont"/>
    <w:qFormat/>
    <w:rsid w:val="002639E6"/>
    <w:rPr>
      <w:i/>
      <w:iCs/>
    </w:rPr>
  </w:style>
  <w:style w:type="character" w:styleId="IntenseEmphasis">
    <w:name w:val="Intense Emphasis"/>
    <w:basedOn w:val="DefaultParagraphFont"/>
    <w:uiPriority w:val="21"/>
    <w:qFormat/>
    <w:rsid w:val="002639E6"/>
    <w:rPr>
      <w:b/>
      <w:bCs/>
      <w:i/>
      <w:iCs/>
      <w:color w:val="4F81BD"/>
    </w:rPr>
  </w:style>
  <w:style w:type="paragraph" w:styleId="Quote">
    <w:name w:val="Quote"/>
    <w:basedOn w:val="Normal"/>
    <w:next w:val="Normal"/>
    <w:link w:val="QuoteChar"/>
    <w:uiPriority w:val="29"/>
    <w:qFormat/>
    <w:rsid w:val="008A0C95"/>
    <w:rPr>
      <w:i/>
      <w:iCs/>
      <w:color w:val="000000"/>
    </w:rPr>
  </w:style>
  <w:style w:type="character" w:customStyle="1" w:styleId="QuoteChar">
    <w:name w:val="Quote Char"/>
    <w:basedOn w:val="DefaultParagraphFont"/>
    <w:link w:val="Quote"/>
    <w:uiPriority w:val="29"/>
    <w:rsid w:val="008A0C95"/>
    <w:rPr>
      <w:i/>
      <w:iCs/>
      <w:color w:val="000000"/>
      <w:sz w:val="24"/>
      <w:szCs w:val="24"/>
    </w:rPr>
  </w:style>
  <w:style w:type="character" w:customStyle="1" w:styleId="pstext">
    <w:name w:val="pstext"/>
    <w:basedOn w:val="DefaultParagraphFont"/>
    <w:rsid w:val="000130E8"/>
  </w:style>
  <w:style w:type="character" w:customStyle="1" w:styleId="ptbreadcrumbcur">
    <w:name w:val="ptbreadcrumbcur"/>
    <w:basedOn w:val="DefaultParagraphFont"/>
    <w:rsid w:val="000130E8"/>
  </w:style>
  <w:style w:type="paragraph" w:styleId="BalloonText">
    <w:name w:val="Balloon Text"/>
    <w:basedOn w:val="Normal"/>
    <w:link w:val="BalloonTextChar"/>
    <w:rsid w:val="004C23B5"/>
    <w:rPr>
      <w:rFonts w:ascii="Tahoma" w:hAnsi="Tahoma" w:cs="Tahoma"/>
      <w:sz w:val="16"/>
      <w:szCs w:val="16"/>
    </w:rPr>
  </w:style>
  <w:style w:type="character" w:customStyle="1" w:styleId="BalloonTextChar">
    <w:name w:val="Balloon Text Char"/>
    <w:basedOn w:val="DefaultParagraphFont"/>
    <w:link w:val="BalloonText"/>
    <w:rsid w:val="004C2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441710">
      <w:bodyDiv w:val="1"/>
      <w:marLeft w:val="0"/>
      <w:marRight w:val="0"/>
      <w:marTop w:val="0"/>
      <w:marBottom w:val="0"/>
      <w:divBdr>
        <w:top w:val="none" w:sz="0" w:space="0" w:color="auto"/>
        <w:left w:val="none" w:sz="0" w:space="0" w:color="auto"/>
        <w:bottom w:val="none" w:sz="0" w:space="0" w:color="auto"/>
        <w:right w:val="none" w:sz="0" w:space="0" w:color="auto"/>
      </w:divBdr>
      <w:divsChild>
        <w:div w:id="530534256">
          <w:marLeft w:val="0"/>
          <w:marRight w:val="0"/>
          <w:marTop w:val="0"/>
          <w:marBottom w:val="0"/>
          <w:divBdr>
            <w:top w:val="none" w:sz="0" w:space="0" w:color="auto"/>
            <w:left w:val="none" w:sz="0" w:space="0" w:color="auto"/>
            <w:bottom w:val="none" w:sz="0" w:space="0" w:color="auto"/>
            <w:right w:val="none" w:sz="0" w:space="0" w:color="auto"/>
          </w:divBdr>
          <w:divsChild>
            <w:div w:id="1049064367">
              <w:marLeft w:val="0"/>
              <w:marRight w:val="0"/>
              <w:marTop w:val="0"/>
              <w:marBottom w:val="0"/>
              <w:divBdr>
                <w:top w:val="none" w:sz="0" w:space="0" w:color="auto"/>
                <w:left w:val="none" w:sz="0" w:space="0" w:color="auto"/>
                <w:bottom w:val="none" w:sz="0" w:space="0" w:color="auto"/>
                <w:right w:val="none" w:sz="0" w:space="0" w:color="auto"/>
              </w:divBdr>
              <w:divsChild>
                <w:div w:id="12600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871">
      <w:bodyDiv w:val="1"/>
      <w:marLeft w:val="0"/>
      <w:marRight w:val="0"/>
      <w:marTop w:val="0"/>
      <w:marBottom w:val="0"/>
      <w:divBdr>
        <w:top w:val="none" w:sz="0" w:space="0" w:color="auto"/>
        <w:left w:val="none" w:sz="0" w:space="0" w:color="auto"/>
        <w:bottom w:val="none" w:sz="0" w:space="0" w:color="auto"/>
        <w:right w:val="none" w:sz="0" w:space="0" w:color="auto"/>
      </w:divBdr>
    </w:div>
    <w:div w:id="1426461329">
      <w:bodyDiv w:val="1"/>
      <w:marLeft w:val="0"/>
      <w:marRight w:val="0"/>
      <w:marTop w:val="0"/>
      <w:marBottom w:val="0"/>
      <w:divBdr>
        <w:top w:val="none" w:sz="0" w:space="0" w:color="auto"/>
        <w:left w:val="none" w:sz="0" w:space="0" w:color="auto"/>
        <w:bottom w:val="none" w:sz="0" w:space="0" w:color="auto"/>
        <w:right w:val="none" w:sz="0" w:space="0" w:color="auto"/>
      </w:divBdr>
      <w:divsChild>
        <w:div w:id="306936449">
          <w:marLeft w:val="0"/>
          <w:marRight w:val="0"/>
          <w:marTop w:val="0"/>
          <w:marBottom w:val="0"/>
          <w:divBdr>
            <w:top w:val="none" w:sz="0" w:space="0" w:color="auto"/>
            <w:left w:val="none" w:sz="0" w:space="0" w:color="auto"/>
            <w:bottom w:val="none" w:sz="0" w:space="0" w:color="auto"/>
            <w:right w:val="none" w:sz="0" w:space="0" w:color="auto"/>
          </w:divBdr>
          <w:divsChild>
            <w:div w:id="581987463">
              <w:marLeft w:val="0"/>
              <w:marRight w:val="0"/>
              <w:marTop w:val="0"/>
              <w:marBottom w:val="0"/>
              <w:divBdr>
                <w:top w:val="none" w:sz="0" w:space="0" w:color="auto"/>
                <w:left w:val="none" w:sz="0" w:space="0" w:color="auto"/>
                <w:bottom w:val="none" w:sz="0" w:space="0" w:color="auto"/>
                <w:right w:val="none" w:sz="0" w:space="0" w:color="auto"/>
              </w:divBdr>
              <w:divsChild>
                <w:div w:id="111852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7164">
      <w:bodyDiv w:val="1"/>
      <w:marLeft w:val="0"/>
      <w:marRight w:val="0"/>
      <w:marTop w:val="0"/>
      <w:marBottom w:val="0"/>
      <w:divBdr>
        <w:top w:val="none" w:sz="0" w:space="0" w:color="auto"/>
        <w:left w:val="none" w:sz="0" w:space="0" w:color="auto"/>
        <w:bottom w:val="none" w:sz="0" w:space="0" w:color="auto"/>
        <w:right w:val="none" w:sz="0" w:space="0" w:color="auto"/>
      </w:divBdr>
      <w:divsChild>
        <w:div w:id="766776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3C948-6E9F-4457-B041-EC941396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1452</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HR Specialist I / Human Resources</vt:lpstr>
    </vt:vector>
  </TitlesOfParts>
  <Company>Salisbury University</Company>
  <LinksUpToDate>false</LinksUpToDate>
  <CharactersWithSpaces>8797</CharactersWithSpaces>
  <SharedDoc>false</SharedDoc>
  <HLinks>
    <vt:vector size="444" baseType="variant">
      <vt:variant>
        <vt:i4>1572921</vt:i4>
      </vt:variant>
      <vt:variant>
        <vt:i4>443</vt:i4>
      </vt:variant>
      <vt:variant>
        <vt:i4>0</vt:i4>
      </vt:variant>
      <vt:variant>
        <vt:i4>5</vt:i4>
      </vt:variant>
      <vt:variant>
        <vt:lpwstr/>
      </vt:variant>
      <vt:variant>
        <vt:lpwstr>_Toc231885215</vt:lpwstr>
      </vt:variant>
      <vt:variant>
        <vt:i4>1572921</vt:i4>
      </vt:variant>
      <vt:variant>
        <vt:i4>437</vt:i4>
      </vt:variant>
      <vt:variant>
        <vt:i4>0</vt:i4>
      </vt:variant>
      <vt:variant>
        <vt:i4>5</vt:i4>
      </vt:variant>
      <vt:variant>
        <vt:lpwstr/>
      </vt:variant>
      <vt:variant>
        <vt:lpwstr>_Toc231885214</vt:lpwstr>
      </vt:variant>
      <vt:variant>
        <vt:i4>1572921</vt:i4>
      </vt:variant>
      <vt:variant>
        <vt:i4>431</vt:i4>
      </vt:variant>
      <vt:variant>
        <vt:i4>0</vt:i4>
      </vt:variant>
      <vt:variant>
        <vt:i4>5</vt:i4>
      </vt:variant>
      <vt:variant>
        <vt:lpwstr/>
      </vt:variant>
      <vt:variant>
        <vt:lpwstr>_Toc231885213</vt:lpwstr>
      </vt:variant>
      <vt:variant>
        <vt:i4>1572921</vt:i4>
      </vt:variant>
      <vt:variant>
        <vt:i4>425</vt:i4>
      </vt:variant>
      <vt:variant>
        <vt:i4>0</vt:i4>
      </vt:variant>
      <vt:variant>
        <vt:i4>5</vt:i4>
      </vt:variant>
      <vt:variant>
        <vt:lpwstr/>
      </vt:variant>
      <vt:variant>
        <vt:lpwstr>_Toc231885212</vt:lpwstr>
      </vt:variant>
      <vt:variant>
        <vt:i4>1572921</vt:i4>
      </vt:variant>
      <vt:variant>
        <vt:i4>419</vt:i4>
      </vt:variant>
      <vt:variant>
        <vt:i4>0</vt:i4>
      </vt:variant>
      <vt:variant>
        <vt:i4>5</vt:i4>
      </vt:variant>
      <vt:variant>
        <vt:lpwstr/>
      </vt:variant>
      <vt:variant>
        <vt:lpwstr>_Toc231885211</vt:lpwstr>
      </vt:variant>
      <vt:variant>
        <vt:i4>1572921</vt:i4>
      </vt:variant>
      <vt:variant>
        <vt:i4>413</vt:i4>
      </vt:variant>
      <vt:variant>
        <vt:i4>0</vt:i4>
      </vt:variant>
      <vt:variant>
        <vt:i4>5</vt:i4>
      </vt:variant>
      <vt:variant>
        <vt:lpwstr/>
      </vt:variant>
      <vt:variant>
        <vt:lpwstr>_Toc231885210</vt:lpwstr>
      </vt:variant>
      <vt:variant>
        <vt:i4>1638457</vt:i4>
      </vt:variant>
      <vt:variant>
        <vt:i4>407</vt:i4>
      </vt:variant>
      <vt:variant>
        <vt:i4>0</vt:i4>
      </vt:variant>
      <vt:variant>
        <vt:i4>5</vt:i4>
      </vt:variant>
      <vt:variant>
        <vt:lpwstr/>
      </vt:variant>
      <vt:variant>
        <vt:lpwstr>_Toc231885209</vt:lpwstr>
      </vt:variant>
      <vt:variant>
        <vt:i4>1638457</vt:i4>
      </vt:variant>
      <vt:variant>
        <vt:i4>401</vt:i4>
      </vt:variant>
      <vt:variant>
        <vt:i4>0</vt:i4>
      </vt:variant>
      <vt:variant>
        <vt:i4>5</vt:i4>
      </vt:variant>
      <vt:variant>
        <vt:lpwstr/>
      </vt:variant>
      <vt:variant>
        <vt:lpwstr>_Toc231885208</vt:lpwstr>
      </vt:variant>
      <vt:variant>
        <vt:i4>1638457</vt:i4>
      </vt:variant>
      <vt:variant>
        <vt:i4>395</vt:i4>
      </vt:variant>
      <vt:variant>
        <vt:i4>0</vt:i4>
      </vt:variant>
      <vt:variant>
        <vt:i4>5</vt:i4>
      </vt:variant>
      <vt:variant>
        <vt:lpwstr/>
      </vt:variant>
      <vt:variant>
        <vt:lpwstr>_Toc231885207</vt:lpwstr>
      </vt:variant>
      <vt:variant>
        <vt:i4>1638457</vt:i4>
      </vt:variant>
      <vt:variant>
        <vt:i4>389</vt:i4>
      </vt:variant>
      <vt:variant>
        <vt:i4>0</vt:i4>
      </vt:variant>
      <vt:variant>
        <vt:i4>5</vt:i4>
      </vt:variant>
      <vt:variant>
        <vt:lpwstr/>
      </vt:variant>
      <vt:variant>
        <vt:lpwstr>_Toc231885206</vt:lpwstr>
      </vt:variant>
      <vt:variant>
        <vt:i4>1638457</vt:i4>
      </vt:variant>
      <vt:variant>
        <vt:i4>383</vt:i4>
      </vt:variant>
      <vt:variant>
        <vt:i4>0</vt:i4>
      </vt:variant>
      <vt:variant>
        <vt:i4>5</vt:i4>
      </vt:variant>
      <vt:variant>
        <vt:lpwstr/>
      </vt:variant>
      <vt:variant>
        <vt:lpwstr>_Toc231885205</vt:lpwstr>
      </vt:variant>
      <vt:variant>
        <vt:i4>1638457</vt:i4>
      </vt:variant>
      <vt:variant>
        <vt:i4>377</vt:i4>
      </vt:variant>
      <vt:variant>
        <vt:i4>0</vt:i4>
      </vt:variant>
      <vt:variant>
        <vt:i4>5</vt:i4>
      </vt:variant>
      <vt:variant>
        <vt:lpwstr/>
      </vt:variant>
      <vt:variant>
        <vt:lpwstr>_Toc231885204</vt:lpwstr>
      </vt:variant>
      <vt:variant>
        <vt:i4>1638457</vt:i4>
      </vt:variant>
      <vt:variant>
        <vt:i4>371</vt:i4>
      </vt:variant>
      <vt:variant>
        <vt:i4>0</vt:i4>
      </vt:variant>
      <vt:variant>
        <vt:i4>5</vt:i4>
      </vt:variant>
      <vt:variant>
        <vt:lpwstr/>
      </vt:variant>
      <vt:variant>
        <vt:lpwstr>_Toc231885203</vt:lpwstr>
      </vt:variant>
      <vt:variant>
        <vt:i4>1638457</vt:i4>
      </vt:variant>
      <vt:variant>
        <vt:i4>365</vt:i4>
      </vt:variant>
      <vt:variant>
        <vt:i4>0</vt:i4>
      </vt:variant>
      <vt:variant>
        <vt:i4>5</vt:i4>
      </vt:variant>
      <vt:variant>
        <vt:lpwstr/>
      </vt:variant>
      <vt:variant>
        <vt:lpwstr>_Toc231885202</vt:lpwstr>
      </vt:variant>
      <vt:variant>
        <vt:i4>1638457</vt:i4>
      </vt:variant>
      <vt:variant>
        <vt:i4>359</vt:i4>
      </vt:variant>
      <vt:variant>
        <vt:i4>0</vt:i4>
      </vt:variant>
      <vt:variant>
        <vt:i4>5</vt:i4>
      </vt:variant>
      <vt:variant>
        <vt:lpwstr/>
      </vt:variant>
      <vt:variant>
        <vt:lpwstr>_Toc231885201</vt:lpwstr>
      </vt:variant>
      <vt:variant>
        <vt:i4>1638457</vt:i4>
      </vt:variant>
      <vt:variant>
        <vt:i4>353</vt:i4>
      </vt:variant>
      <vt:variant>
        <vt:i4>0</vt:i4>
      </vt:variant>
      <vt:variant>
        <vt:i4>5</vt:i4>
      </vt:variant>
      <vt:variant>
        <vt:lpwstr/>
      </vt:variant>
      <vt:variant>
        <vt:lpwstr>_Toc231885200</vt:lpwstr>
      </vt:variant>
      <vt:variant>
        <vt:i4>1048634</vt:i4>
      </vt:variant>
      <vt:variant>
        <vt:i4>347</vt:i4>
      </vt:variant>
      <vt:variant>
        <vt:i4>0</vt:i4>
      </vt:variant>
      <vt:variant>
        <vt:i4>5</vt:i4>
      </vt:variant>
      <vt:variant>
        <vt:lpwstr/>
      </vt:variant>
      <vt:variant>
        <vt:lpwstr>_Toc231885199</vt:lpwstr>
      </vt:variant>
      <vt:variant>
        <vt:i4>1048634</vt:i4>
      </vt:variant>
      <vt:variant>
        <vt:i4>341</vt:i4>
      </vt:variant>
      <vt:variant>
        <vt:i4>0</vt:i4>
      </vt:variant>
      <vt:variant>
        <vt:i4>5</vt:i4>
      </vt:variant>
      <vt:variant>
        <vt:lpwstr/>
      </vt:variant>
      <vt:variant>
        <vt:lpwstr>_Toc231885198</vt:lpwstr>
      </vt:variant>
      <vt:variant>
        <vt:i4>1048634</vt:i4>
      </vt:variant>
      <vt:variant>
        <vt:i4>335</vt:i4>
      </vt:variant>
      <vt:variant>
        <vt:i4>0</vt:i4>
      </vt:variant>
      <vt:variant>
        <vt:i4>5</vt:i4>
      </vt:variant>
      <vt:variant>
        <vt:lpwstr/>
      </vt:variant>
      <vt:variant>
        <vt:lpwstr>_Toc231885197</vt:lpwstr>
      </vt:variant>
      <vt:variant>
        <vt:i4>1048634</vt:i4>
      </vt:variant>
      <vt:variant>
        <vt:i4>329</vt:i4>
      </vt:variant>
      <vt:variant>
        <vt:i4>0</vt:i4>
      </vt:variant>
      <vt:variant>
        <vt:i4>5</vt:i4>
      </vt:variant>
      <vt:variant>
        <vt:lpwstr/>
      </vt:variant>
      <vt:variant>
        <vt:lpwstr>_Toc231885196</vt:lpwstr>
      </vt:variant>
      <vt:variant>
        <vt:i4>1048634</vt:i4>
      </vt:variant>
      <vt:variant>
        <vt:i4>323</vt:i4>
      </vt:variant>
      <vt:variant>
        <vt:i4>0</vt:i4>
      </vt:variant>
      <vt:variant>
        <vt:i4>5</vt:i4>
      </vt:variant>
      <vt:variant>
        <vt:lpwstr/>
      </vt:variant>
      <vt:variant>
        <vt:lpwstr>_Toc231885195</vt:lpwstr>
      </vt:variant>
      <vt:variant>
        <vt:i4>1048634</vt:i4>
      </vt:variant>
      <vt:variant>
        <vt:i4>317</vt:i4>
      </vt:variant>
      <vt:variant>
        <vt:i4>0</vt:i4>
      </vt:variant>
      <vt:variant>
        <vt:i4>5</vt:i4>
      </vt:variant>
      <vt:variant>
        <vt:lpwstr/>
      </vt:variant>
      <vt:variant>
        <vt:lpwstr>_Toc231885194</vt:lpwstr>
      </vt:variant>
      <vt:variant>
        <vt:i4>1048634</vt:i4>
      </vt:variant>
      <vt:variant>
        <vt:i4>311</vt:i4>
      </vt:variant>
      <vt:variant>
        <vt:i4>0</vt:i4>
      </vt:variant>
      <vt:variant>
        <vt:i4>5</vt:i4>
      </vt:variant>
      <vt:variant>
        <vt:lpwstr/>
      </vt:variant>
      <vt:variant>
        <vt:lpwstr>_Toc231885193</vt:lpwstr>
      </vt:variant>
      <vt:variant>
        <vt:i4>1048634</vt:i4>
      </vt:variant>
      <vt:variant>
        <vt:i4>305</vt:i4>
      </vt:variant>
      <vt:variant>
        <vt:i4>0</vt:i4>
      </vt:variant>
      <vt:variant>
        <vt:i4>5</vt:i4>
      </vt:variant>
      <vt:variant>
        <vt:lpwstr/>
      </vt:variant>
      <vt:variant>
        <vt:lpwstr>_Toc231885192</vt:lpwstr>
      </vt:variant>
      <vt:variant>
        <vt:i4>1048634</vt:i4>
      </vt:variant>
      <vt:variant>
        <vt:i4>299</vt:i4>
      </vt:variant>
      <vt:variant>
        <vt:i4>0</vt:i4>
      </vt:variant>
      <vt:variant>
        <vt:i4>5</vt:i4>
      </vt:variant>
      <vt:variant>
        <vt:lpwstr/>
      </vt:variant>
      <vt:variant>
        <vt:lpwstr>_Toc231885191</vt:lpwstr>
      </vt:variant>
      <vt:variant>
        <vt:i4>1048634</vt:i4>
      </vt:variant>
      <vt:variant>
        <vt:i4>293</vt:i4>
      </vt:variant>
      <vt:variant>
        <vt:i4>0</vt:i4>
      </vt:variant>
      <vt:variant>
        <vt:i4>5</vt:i4>
      </vt:variant>
      <vt:variant>
        <vt:lpwstr/>
      </vt:variant>
      <vt:variant>
        <vt:lpwstr>_Toc231885190</vt:lpwstr>
      </vt:variant>
      <vt:variant>
        <vt:i4>1114170</vt:i4>
      </vt:variant>
      <vt:variant>
        <vt:i4>287</vt:i4>
      </vt:variant>
      <vt:variant>
        <vt:i4>0</vt:i4>
      </vt:variant>
      <vt:variant>
        <vt:i4>5</vt:i4>
      </vt:variant>
      <vt:variant>
        <vt:lpwstr/>
      </vt:variant>
      <vt:variant>
        <vt:lpwstr>_Toc231885189</vt:lpwstr>
      </vt:variant>
      <vt:variant>
        <vt:i4>1114170</vt:i4>
      </vt:variant>
      <vt:variant>
        <vt:i4>281</vt:i4>
      </vt:variant>
      <vt:variant>
        <vt:i4>0</vt:i4>
      </vt:variant>
      <vt:variant>
        <vt:i4>5</vt:i4>
      </vt:variant>
      <vt:variant>
        <vt:lpwstr/>
      </vt:variant>
      <vt:variant>
        <vt:lpwstr>_Toc231885188</vt:lpwstr>
      </vt:variant>
      <vt:variant>
        <vt:i4>1114170</vt:i4>
      </vt:variant>
      <vt:variant>
        <vt:i4>275</vt:i4>
      </vt:variant>
      <vt:variant>
        <vt:i4>0</vt:i4>
      </vt:variant>
      <vt:variant>
        <vt:i4>5</vt:i4>
      </vt:variant>
      <vt:variant>
        <vt:lpwstr/>
      </vt:variant>
      <vt:variant>
        <vt:lpwstr>_Toc231885187</vt:lpwstr>
      </vt:variant>
      <vt:variant>
        <vt:i4>1114170</vt:i4>
      </vt:variant>
      <vt:variant>
        <vt:i4>269</vt:i4>
      </vt:variant>
      <vt:variant>
        <vt:i4>0</vt:i4>
      </vt:variant>
      <vt:variant>
        <vt:i4>5</vt:i4>
      </vt:variant>
      <vt:variant>
        <vt:lpwstr/>
      </vt:variant>
      <vt:variant>
        <vt:lpwstr>_Toc231885186</vt:lpwstr>
      </vt:variant>
      <vt:variant>
        <vt:i4>1114170</vt:i4>
      </vt:variant>
      <vt:variant>
        <vt:i4>263</vt:i4>
      </vt:variant>
      <vt:variant>
        <vt:i4>0</vt:i4>
      </vt:variant>
      <vt:variant>
        <vt:i4>5</vt:i4>
      </vt:variant>
      <vt:variant>
        <vt:lpwstr/>
      </vt:variant>
      <vt:variant>
        <vt:lpwstr>_Toc231885185</vt:lpwstr>
      </vt:variant>
      <vt:variant>
        <vt:i4>1114170</vt:i4>
      </vt:variant>
      <vt:variant>
        <vt:i4>257</vt:i4>
      </vt:variant>
      <vt:variant>
        <vt:i4>0</vt:i4>
      </vt:variant>
      <vt:variant>
        <vt:i4>5</vt:i4>
      </vt:variant>
      <vt:variant>
        <vt:lpwstr/>
      </vt:variant>
      <vt:variant>
        <vt:lpwstr>_Toc231885184</vt:lpwstr>
      </vt:variant>
      <vt:variant>
        <vt:i4>1114170</vt:i4>
      </vt:variant>
      <vt:variant>
        <vt:i4>251</vt:i4>
      </vt:variant>
      <vt:variant>
        <vt:i4>0</vt:i4>
      </vt:variant>
      <vt:variant>
        <vt:i4>5</vt:i4>
      </vt:variant>
      <vt:variant>
        <vt:lpwstr/>
      </vt:variant>
      <vt:variant>
        <vt:lpwstr>_Toc231885183</vt:lpwstr>
      </vt:variant>
      <vt:variant>
        <vt:i4>1114170</vt:i4>
      </vt:variant>
      <vt:variant>
        <vt:i4>245</vt:i4>
      </vt:variant>
      <vt:variant>
        <vt:i4>0</vt:i4>
      </vt:variant>
      <vt:variant>
        <vt:i4>5</vt:i4>
      </vt:variant>
      <vt:variant>
        <vt:lpwstr/>
      </vt:variant>
      <vt:variant>
        <vt:lpwstr>_Toc231885182</vt:lpwstr>
      </vt:variant>
      <vt:variant>
        <vt:i4>1114170</vt:i4>
      </vt:variant>
      <vt:variant>
        <vt:i4>239</vt:i4>
      </vt:variant>
      <vt:variant>
        <vt:i4>0</vt:i4>
      </vt:variant>
      <vt:variant>
        <vt:i4>5</vt:i4>
      </vt:variant>
      <vt:variant>
        <vt:lpwstr/>
      </vt:variant>
      <vt:variant>
        <vt:lpwstr>_Toc231885181</vt:lpwstr>
      </vt:variant>
      <vt:variant>
        <vt:i4>1114170</vt:i4>
      </vt:variant>
      <vt:variant>
        <vt:i4>233</vt:i4>
      </vt:variant>
      <vt:variant>
        <vt:i4>0</vt:i4>
      </vt:variant>
      <vt:variant>
        <vt:i4>5</vt:i4>
      </vt:variant>
      <vt:variant>
        <vt:lpwstr/>
      </vt:variant>
      <vt:variant>
        <vt:lpwstr>_Toc231885180</vt:lpwstr>
      </vt:variant>
      <vt:variant>
        <vt:i4>1966138</vt:i4>
      </vt:variant>
      <vt:variant>
        <vt:i4>227</vt:i4>
      </vt:variant>
      <vt:variant>
        <vt:i4>0</vt:i4>
      </vt:variant>
      <vt:variant>
        <vt:i4>5</vt:i4>
      </vt:variant>
      <vt:variant>
        <vt:lpwstr/>
      </vt:variant>
      <vt:variant>
        <vt:lpwstr>_Toc231885179</vt:lpwstr>
      </vt:variant>
      <vt:variant>
        <vt:i4>1966138</vt:i4>
      </vt:variant>
      <vt:variant>
        <vt:i4>221</vt:i4>
      </vt:variant>
      <vt:variant>
        <vt:i4>0</vt:i4>
      </vt:variant>
      <vt:variant>
        <vt:i4>5</vt:i4>
      </vt:variant>
      <vt:variant>
        <vt:lpwstr/>
      </vt:variant>
      <vt:variant>
        <vt:lpwstr>_Toc231885178</vt:lpwstr>
      </vt:variant>
      <vt:variant>
        <vt:i4>1966138</vt:i4>
      </vt:variant>
      <vt:variant>
        <vt:i4>215</vt:i4>
      </vt:variant>
      <vt:variant>
        <vt:i4>0</vt:i4>
      </vt:variant>
      <vt:variant>
        <vt:i4>5</vt:i4>
      </vt:variant>
      <vt:variant>
        <vt:lpwstr/>
      </vt:variant>
      <vt:variant>
        <vt:lpwstr>_Toc231885177</vt:lpwstr>
      </vt:variant>
      <vt:variant>
        <vt:i4>1966138</vt:i4>
      </vt:variant>
      <vt:variant>
        <vt:i4>209</vt:i4>
      </vt:variant>
      <vt:variant>
        <vt:i4>0</vt:i4>
      </vt:variant>
      <vt:variant>
        <vt:i4>5</vt:i4>
      </vt:variant>
      <vt:variant>
        <vt:lpwstr/>
      </vt:variant>
      <vt:variant>
        <vt:lpwstr>_Toc231885176</vt:lpwstr>
      </vt:variant>
      <vt:variant>
        <vt:i4>1966138</vt:i4>
      </vt:variant>
      <vt:variant>
        <vt:i4>203</vt:i4>
      </vt:variant>
      <vt:variant>
        <vt:i4>0</vt:i4>
      </vt:variant>
      <vt:variant>
        <vt:i4>5</vt:i4>
      </vt:variant>
      <vt:variant>
        <vt:lpwstr/>
      </vt:variant>
      <vt:variant>
        <vt:lpwstr>_Toc231885175</vt:lpwstr>
      </vt:variant>
      <vt:variant>
        <vt:i4>1966138</vt:i4>
      </vt:variant>
      <vt:variant>
        <vt:i4>197</vt:i4>
      </vt:variant>
      <vt:variant>
        <vt:i4>0</vt:i4>
      </vt:variant>
      <vt:variant>
        <vt:i4>5</vt:i4>
      </vt:variant>
      <vt:variant>
        <vt:lpwstr/>
      </vt:variant>
      <vt:variant>
        <vt:lpwstr>_Toc231885174</vt:lpwstr>
      </vt:variant>
      <vt:variant>
        <vt:i4>1966138</vt:i4>
      </vt:variant>
      <vt:variant>
        <vt:i4>191</vt:i4>
      </vt:variant>
      <vt:variant>
        <vt:i4>0</vt:i4>
      </vt:variant>
      <vt:variant>
        <vt:i4>5</vt:i4>
      </vt:variant>
      <vt:variant>
        <vt:lpwstr/>
      </vt:variant>
      <vt:variant>
        <vt:lpwstr>_Toc231885173</vt:lpwstr>
      </vt:variant>
      <vt:variant>
        <vt:i4>1966138</vt:i4>
      </vt:variant>
      <vt:variant>
        <vt:i4>185</vt:i4>
      </vt:variant>
      <vt:variant>
        <vt:i4>0</vt:i4>
      </vt:variant>
      <vt:variant>
        <vt:i4>5</vt:i4>
      </vt:variant>
      <vt:variant>
        <vt:lpwstr/>
      </vt:variant>
      <vt:variant>
        <vt:lpwstr>_Toc231885172</vt:lpwstr>
      </vt:variant>
      <vt:variant>
        <vt:i4>1966138</vt:i4>
      </vt:variant>
      <vt:variant>
        <vt:i4>179</vt:i4>
      </vt:variant>
      <vt:variant>
        <vt:i4>0</vt:i4>
      </vt:variant>
      <vt:variant>
        <vt:i4>5</vt:i4>
      </vt:variant>
      <vt:variant>
        <vt:lpwstr/>
      </vt:variant>
      <vt:variant>
        <vt:lpwstr>_Toc231885171</vt:lpwstr>
      </vt:variant>
      <vt:variant>
        <vt:i4>1966138</vt:i4>
      </vt:variant>
      <vt:variant>
        <vt:i4>173</vt:i4>
      </vt:variant>
      <vt:variant>
        <vt:i4>0</vt:i4>
      </vt:variant>
      <vt:variant>
        <vt:i4>5</vt:i4>
      </vt:variant>
      <vt:variant>
        <vt:lpwstr/>
      </vt:variant>
      <vt:variant>
        <vt:lpwstr>_Toc231885170</vt:lpwstr>
      </vt:variant>
      <vt:variant>
        <vt:i4>2031674</vt:i4>
      </vt:variant>
      <vt:variant>
        <vt:i4>167</vt:i4>
      </vt:variant>
      <vt:variant>
        <vt:i4>0</vt:i4>
      </vt:variant>
      <vt:variant>
        <vt:i4>5</vt:i4>
      </vt:variant>
      <vt:variant>
        <vt:lpwstr/>
      </vt:variant>
      <vt:variant>
        <vt:lpwstr>_Toc231885169</vt:lpwstr>
      </vt:variant>
      <vt:variant>
        <vt:i4>2031674</vt:i4>
      </vt:variant>
      <vt:variant>
        <vt:i4>161</vt:i4>
      </vt:variant>
      <vt:variant>
        <vt:i4>0</vt:i4>
      </vt:variant>
      <vt:variant>
        <vt:i4>5</vt:i4>
      </vt:variant>
      <vt:variant>
        <vt:lpwstr/>
      </vt:variant>
      <vt:variant>
        <vt:lpwstr>_Toc231885168</vt:lpwstr>
      </vt:variant>
      <vt:variant>
        <vt:i4>2031674</vt:i4>
      </vt:variant>
      <vt:variant>
        <vt:i4>155</vt:i4>
      </vt:variant>
      <vt:variant>
        <vt:i4>0</vt:i4>
      </vt:variant>
      <vt:variant>
        <vt:i4>5</vt:i4>
      </vt:variant>
      <vt:variant>
        <vt:lpwstr/>
      </vt:variant>
      <vt:variant>
        <vt:lpwstr>_Toc231885167</vt:lpwstr>
      </vt:variant>
      <vt:variant>
        <vt:i4>2031674</vt:i4>
      </vt:variant>
      <vt:variant>
        <vt:i4>149</vt:i4>
      </vt:variant>
      <vt:variant>
        <vt:i4>0</vt:i4>
      </vt:variant>
      <vt:variant>
        <vt:i4>5</vt:i4>
      </vt:variant>
      <vt:variant>
        <vt:lpwstr/>
      </vt:variant>
      <vt:variant>
        <vt:lpwstr>_Toc231885166</vt:lpwstr>
      </vt:variant>
      <vt:variant>
        <vt:i4>2031674</vt:i4>
      </vt:variant>
      <vt:variant>
        <vt:i4>143</vt:i4>
      </vt:variant>
      <vt:variant>
        <vt:i4>0</vt:i4>
      </vt:variant>
      <vt:variant>
        <vt:i4>5</vt:i4>
      </vt:variant>
      <vt:variant>
        <vt:lpwstr/>
      </vt:variant>
      <vt:variant>
        <vt:lpwstr>_Toc231885165</vt:lpwstr>
      </vt:variant>
      <vt:variant>
        <vt:i4>2031674</vt:i4>
      </vt:variant>
      <vt:variant>
        <vt:i4>137</vt:i4>
      </vt:variant>
      <vt:variant>
        <vt:i4>0</vt:i4>
      </vt:variant>
      <vt:variant>
        <vt:i4>5</vt:i4>
      </vt:variant>
      <vt:variant>
        <vt:lpwstr/>
      </vt:variant>
      <vt:variant>
        <vt:lpwstr>_Toc231885164</vt:lpwstr>
      </vt:variant>
      <vt:variant>
        <vt:i4>2031674</vt:i4>
      </vt:variant>
      <vt:variant>
        <vt:i4>131</vt:i4>
      </vt:variant>
      <vt:variant>
        <vt:i4>0</vt:i4>
      </vt:variant>
      <vt:variant>
        <vt:i4>5</vt:i4>
      </vt:variant>
      <vt:variant>
        <vt:lpwstr/>
      </vt:variant>
      <vt:variant>
        <vt:lpwstr>_Toc231885163</vt:lpwstr>
      </vt:variant>
      <vt:variant>
        <vt:i4>2031674</vt:i4>
      </vt:variant>
      <vt:variant>
        <vt:i4>125</vt:i4>
      </vt:variant>
      <vt:variant>
        <vt:i4>0</vt:i4>
      </vt:variant>
      <vt:variant>
        <vt:i4>5</vt:i4>
      </vt:variant>
      <vt:variant>
        <vt:lpwstr/>
      </vt:variant>
      <vt:variant>
        <vt:lpwstr>_Toc231885162</vt:lpwstr>
      </vt:variant>
      <vt:variant>
        <vt:i4>2031674</vt:i4>
      </vt:variant>
      <vt:variant>
        <vt:i4>119</vt:i4>
      </vt:variant>
      <vt:variant>
        <vt:i4>0</vt:i4>
      </vt:variant>
      <vt:variant>
        <vt:i4>5</vt:i4>
      </vt:variant>
      <vt:variant>
        <vt:lpwstr/>
      </vt:variant>
      <vt:variant>
        <vt:lpwstr>_Toc231885161</vt:lpwstr>
      </vt:variant>
      <vt:variant>
        <vt:i4>2031674</vt:i4>
      </vt:variant>
      <vt:variant>
        <vt:i4>113</vt:i4>
      </vt:variant>
      <vt:variant>
        <vt:i4>0</vt:i4>
      </vt:variant>
      <vt:variant>
        <vt:i4>5</vt:i4>
      </vt:variant>
      <vt:variant>
        <vt:lpwstr/>
      </vt:variant>
      <vt:variant>
        <vt:lpwstr>_Toc231885160</vt:lpwstr>
      </vt:variant>
      <vt:variant>
        <vt:i4>1835066</vt:i4>
      </vt:variant>
      <vt:variant>
        <vt:i4>107</vt:i4>
      </vt:variant>
      <vt:variant>
        <vt:i4>0</vt:i4>
      </vt:variant>
      <vt:variant>
        <vt:i4>5</vt:i4>
      </vt:variant>
      <vt:variant>
        <vt:lpwstr/>
      </vt:variant>
      <vt:variant>
        <vt:lpwstr>_Toc231885159</vt:lpwstr>
      </vt:variant>
      <vt:variant>
        <vt:i4>1835066</vt:i4>
      </vt:variant>
      <vt:variant>
        <vt:i4>101</vt:i4>
      </vt:variant>
      <vt:variant>
        <vt:i4>0</vt:i4>
      </vt:variant>
      <vt:variant>
        <vt:i4>5</vt:i4>
      </vt:variant>
      <vt:variant>
        <vt:lpwstr/>
      </vt:variant>
      <vt:variant>
        <vt:lpwstr>_Toc231885158</vt:lpwstr>
      </vt:variant>
      <vt:variant>
        <vt:i4>1835066</vt:i4>
      </vt:variant>
      <vt:variant>
        <vt:i4>95</vt:i4>
      </vt:variant>
      <vt:variant>
        <vt:i4>0</vt:i4>
      </vt:variant>
      <vt:variant>
        <vt:i4>5</vt:i4>
      </vt:variant>
      <vt:variant>
        <vt:lpwstr/>
      </vt:variant>
      <vt:variant>
        <vt:lpwstr>_Toc231885157</vt:lpwstr>
      </vt:variant>
      <vt:variant>
        <vt:i4>1835066</vt:i4>
      </vt:variant>
      <vt:variant>
        <vt:i4>89</vt:i4>
      </vt:variant>
      <vt:variant>
        <vt:i4>0</vt:i4>
      </vt:variant>
      <vt:variant>
        <vt:i4>5</vt:i4>
      </vt:variant>
      <vt:variant>
        <vt:lpwstr/>
      </vt:variant>
      <vt:variant>
        <vt:lpwstr>_Toc231885156</vt:lpwstr>
      </vt:variant>
      <vt:variant>
        <vt:i4>1835066</vt:i4>
      </vt:variant>
      <vt:variant>
        <vt:i4>83</vt:i4>
      </vt:variant>
      <vt:variant>
        <vt:i4>0</vt:i4>
      </vt:variant>
      <vt:variant>
        <vt:i4>5</vt:i4>
      </vt:variant>
      <vt:variant>
        <vt:lpwstr/>
      </vt:variant>
      <vt:variant>
        <vt:lpwstr>_Toc231885155</vt:lpwstr>
      </vt:variant>
      <vt:variant>
        <vt:i4>1835066</vt:i4>
      </vt:variant>
      <vt:variant>
        <vt:i4>77</vt:i4>
      </vt:variant>
      <vt:variant>
        <vt:i4>0</vt:i4>
      </vt:variant>
      <vt:variant>
        <vt:i4>5</vt:i4>
      </vt:variant>
      <vt:variant>
        <vt:lpwstr/>
      </vt:variant>
      <vt:variant>
        <vt:lpwstr>_Toc231885154</vt:lpwstr>
      </vt:variant>
      <vt:variant>
        <vt:i4>1835066</vt:i4>
      </vt:variant>
      <vt:variant>
        <vt:i4>71</vt:i4>
      </vt:variant>
      <vt:variant>
        <vt:i4>0</vt:i4>
      </vt:variant>
      <vt:variant>
        <vt:i4>5</vt:i4>
      </vt:variant>
      <vt:variant>
        <vt:lpwstr/>
      </vt:variant>
      <vt:variant>
        <vt:lpwstr>_Toc231885153</vt:lpwstr>
      </vt:variant>
      <vt:variant>
        <vt:i4>1835066</vt:i4>
      </vt:variant>
      <vt:variant>
        <vt:i4>65</vt:i4>
      </vt:variant>
      <vt:variant>
        <vt:i4>0</vt:i4>
      </vt:variant>
      <vt:variant>
        <vt:i4>5</vt:i4>
      </vt:variant>
      <vt:variant>
        <vt:lpwstr/>
      </vt:variant>
      <vt:variant>
        <vt:lpwstr>_Toc231885152</vt:lpwstr>
      </vt:variant>
      <vt:variant>
        <vt:i4>1835066</vt:i4>
      </vt:variant>
      <vt:variant>
        <vt:i4>59</vt:i4>
      </vt:variant>
      <vt:variant>
        <vt:i4>0</vt:i4>
      </vt:variant>
      <vt:variant>
        <vt:i4>5</vt:i4>
      </vt:variant>
      <vt:variant>
        <vt:lpwstr/>
      </vt:variant>
      <vt:variant>
        <vt:lpwstr>_Toc231885151</vt:lpwstr>
      </vt:variant>
      <vt:variant>
        <vt:i4>1835066</vt:i4>
      </vt:variant>
      <vt:variant>
        <vt:i4>53</vt:i4>
      </vt:variant>
      <vt:variant>
        <vt:i4>0</vt:i4>
      </vt:variant>
      <vt:variant>
        <vt:i4>5</vt:i4>
      </vt:variant>
      <vt:variant>
        <vt:lpwstr/>
      </vt:variant>
      <vt:variant>
        <vt:lpwstr>_Toc231885150</vt:lpwstr>
      </vt:variant>
      <vt:variant>
        <vt:i4>1900602</vt:i4>
      </vt:variant>
      <vt:variant>
        <vt:i4>47</vt:i4>
      </vt:variant>
      <vt:variant>
        <vt:i4>0</vt:i4>
      </vt:variant>
      <vt:variant>
        <vt:i4>5</vt:i4>
      </vt:variant>
      <vt:variant>
        <vt:lpwstr/>
      </vt:variant>
      <vt:variant>
        <vt:lpwstr>_Toc231885149</vt:lpwstr>
      </vt:variant>
      <vt:variant>
        <vt:i4>1900602</vt:i4>
      </vt:variant>
      <vt:variant>
        <vt:i4>41</vt:i4>
      </vt:variant>
      <vt:variant>
        <vt:i4>0</vt:i4>
      </vt:variant>
      <vt:variant>
        <vt:i4>5</vt:i4>
      </vt:variant>
      <vt:variant>
        <vt:lpwstr/>
      </vt:variant>
      <vt:variant>
        <vt:lpwstr>_Toc231885148</vt:lpwstr>
      </vt:variant>
      <vt:variant>
        <vt:i4>1900602</vt:i4>
      </vt:variant>
      <vt:variant>
        <vt:i4>35</vt:i4>
      </vt:variant>
      <vt:variant>
        <vt:i4>0</vt:i4>
      </vt:variant>
      <vt:variant>
        <vt:i4>5</vt:i4>
      </vt:variant>
      <vt:variant>
        <vt:lpwstr/>
      </vt:variant>
      <vt:variant>
        <vt:lpwstr>_Toc231885147</vt:lpwstr>
      </vt:variant>
      <vt:variant>
        <vt:i4>1900602</vt:i4>
      </vt:variant>
      <vt:variant>
        <vt:i4>29</vt:i4>
      </vt:variant>
      <vt:variant>
        <vt:i4>0</vt:i4>
      </vt:variant>
      <vt:variant>
        <vt:i4>5</vt:i4>
      </vt:variant>
      <vt:variant>
        <vt:lpwstr/>
      </vt:variant>
      <vt:variant>
        <vt:lpwstr>_Toc231885146</vt:lpwstr>
      </vt:variant>
      <vt:variant>
        <vt:i4>1900602</vt:i4>
      </vt:variant>
      <vt:variant>
        <vt:i4>23</vt:i4>
      </vt:variant>
      <vt:variant>
        <vt:i4>0</vt:i4>
      </vt:variant>
      <vt:variant>
        <vt:i4>5</vt:i4>
      </vt:variant>
      <vt:variant>
        <vt:lpwstr/>
      </vt:variant>
      <vt:variant>
        <vt:lpwstr>_Toc231885145</vt:lpwstr>
      </vt:variant>
      <vt:variant>
        <vt:i4>1900602</vt:i4>
      </vt:variant>
      <vt:variant>
        <vt:i4>17</vt:i4>
      </vt:variant>
      <vt:variant>
        <vt:i4>0</vt:i4>
      </vt:variant>
      <vt:variant>
        <vt:i4>5</vt:i4>
      </vt:variant>
      <vt:variant>
        <vt:lpwstr/>
      </vt:variant>
      <vt:variant>
        <vt:lpwstr>_Toc231885144</vt:lpwstr>
      </vt:variant>
      <vt:variant>
        <vt:i4>1900602</vt:i4>
      </vt:variant>
      <vt:variant>
        <vt:i4>11</vt:i4>
      </vt:variant>
      <vt:variant>
        <vt:i4>0</vt:i4>
      </vt:variant>
      <vt:variant>
        <vt:i4>5</vt:i4>
      </vt:variant>
      <vt:variant>
        <vt:lpwstr/>
      </vt:variant>
      <vt:variant>
        <vt:lpwstr>_Toc231885143</vt:lpwstr>
      </vt:variant>
      <vt:variant>
        <vt:i4>1900602</vt:i4>
      </vt:variant>
      <vt:variant>
        <vt:i4>5</vt:i4>
      </vt:variant>
      <vt:variant>
        <vt:i4>0</vt:i4>
      </vt:variant>
      <vt:variant>
        <vt:i4>5</vt:i4>
      </vt:variant>
      <vt:variant>
        <vt:lpwstr/>
      </vt:variant>
      <vt:variant>
        <vt:lpwstr>_Toc231885142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Specialist I / Human Resources</dc:title>
  <dc:subject>Regular Faculty Overload Contract Submitter Instructions</dc:subject>
  <dc:creator>Nadalyne Campbell</dc:creator>
  <cp:keywords>Regular Faculty Overload Contract Submitter Instructions</cp:keywords>
  <dc:description>Regular Faculty Overload Contract Submitter Instructions</dc:description>
  <cp:lastModifiedBy>Christian LeSueuer</cp:lastModifiedBy>
  <cp:revision>3</cp:revision>
  <cp:lastPrinted>2012-05-08T18:14:00Z</cp:lastPrinted>
  <dcterms:created xsi:type="dcterms:W3CDTF">2021-01-13T15:50:00Z</dcterms:created>
  <dcterms:modified xsi:type="dcterms:W3CDTF">2021-02-24T13:34:00Z</dcterms:modified>
  <cp:category>Contracts</cp:category>
</cp:coreProperties>
</file>