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B" w:rsidRDefault="00FF097B" w:rsidP="00FF097B">
      <w:pPr>
        <w:rPr>
          <w:b/>
        </w:rPr>
      </w:pPr>
      <w:r>
        <w:rPr>
          <w:noProof/>
        </w:rPr>
        <w:drawing>
          <wp:inline distT="0" distB="0" distL="0" distR="0" wp14:anchorId="187416CD" wp14:editId="389B84EC">
            <wp:extent cx="2019300" cy="637313"/>
            <wp:effectExtent l="0" t="0" r="0" b="0"/>
            <wp:docPr id="1" name="Picture 1" descr="Salisbur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sbury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4365" cy="657848"/>
                    </a:xfrm>
                    <a:prstGeom prst="rect">
                      <a:avLst/>
                    </a:prstGeom>
                    <a:noFill/>
                    <a:ln>
                      <a:noFill/>
                    </a:ln>
                  </pic:spPr>
                </pic:pic>
              </a:graphicData>
            </a:graphic>
          </wp:inline>
        </w:drawing>
      </w:r>
    </w:p>
    <w:p w:rsidR="00055E63" w:rsidRPr="00FC759B" w:rsidRDefault="009B0E92" w:rsidP="00FC759B">
      <w:pPr>
        <w:jc w:val="center"/>
        <w:rPr>
          <w:b/>
        </w:rPr>
      </w:pPr>
      <w:r>
        <w:rPr>
          <w:b/>
        </w:rPr>
        <w:t xml:space="preserve">Unit </w:t>
      </w:r>
      <w:r w:rsidR="005622F7">
        <w:rPr>
          <w:b/>
        </w:rPr>
        <w:t xml:space="preserve">Employer </w:t>
      </w:r>
      <w:r>
        <w:rPr>
          <w:b/>
        </w:rPr>
        <w:t>Survey</w:t>
      </w:r>
      <w:r w:rsidR="00C20462">
        <w:rPr>
          <w:b/>
        </w:rPr>
        <w:t>:</w:t>
      </w:r>
      <w:r w:rsidR="00B1590F">
        <w:rPr>
          <w:b/>
        </w:rPr>
        <w:t xml:space="preserve"> </w:t>
      </w:r>
      <w:r w:rsidR="00ED4880" w:rsidRPr="00ED4880">
        <w:rPr>
          <w:b/>
        </w:rPr>
        <w:t>Report</w:t>
      </w:r>
      <w:r w:rsidR="00B9100F">
        <w:rPr>
          <w:b/>
        </w:rPr>
        <w:t xml:space="preserve"> (Draft) </w:t>
      </w:r>
    </w:p>
    <w:p w:rsidR="0089424F" w:rsidRPr="0089424F" w:rsidRDefault="00A83C71" w:rsidP="00FC759B">
      <w:pPr>
        <w:spacing w:after="120"/>
        <w:rPr>
          <w:b/>
        </w:rPr>
      </w:pPr>
      <w:r>
        <w:rPr>
          <w:b/>
        </w:rPr>
        <w:t xml:space="preserve">Section I. Survey </w:t>
      </w:r>
      <w:r w:rsidR="0089424F" w:rsidRPr="0089424F">
        <w:rPr>
          <w:b/>
        </w:rPr>
        <w:t xml:space="preserve">Information </w:t>
      </w:r>
    </w:p>
    <w:p w:rsidR="00055E63" w:rsidRPr="00FC759B" w:rsidRDefault="006B7757" w:rsidP="005622F7">
      <w:pPr>
        <w:spacing w:after="120"/>
      </w:pPr>
      <w:r>
        <w:t xml:space="preserve">The current data </w:t>
      </w:r>
      <w:r w:rsidR="00884FB2">
        <w:t xml:space="preserve">are based on a </w:t>
      </w:r>
      <w:r w:rsidR="00A324C1">
        <w:t>follow-up</w:t>
      </w:r>
      <w:r w:rsidR="00C924B3">
        <w:t>, year two</w:t>
      </w:r>
      <w:r w:rsidR="00884FB2">
        <w:t xml:space="preserve"> administration of the Unit Employer Survey</w:t>
      </w:r>
      <w:r w:rsidR="006952C2">
        <w:t>,</w:t>
      </w:r>
      <w:r w:rsidR="00884FB2">
        <w:t xml:space="preserve"> with </w:t>
      </w:r>
      <w:r w:rsidR="00C924B3">
        <w:t>a second</w:t>
      </w:r>
      <w:r w:rsidR="00884FB2">
        <w:t xml:space="preserve"> surrounding school district</w:t>
      </w:r>
      <w:r w:rsidR="006952C2">
        <w:t>,</w:t>
      </w:r>
      <w:r w:rsidR="000E3F4B">
        <w:t xml:space="preserve"> conducted in </w:t>
      </w:r>
      <w:r w:rsidR="00C924B3">
        <w:t>February of 2019</w:t>
      </w:r>
      <w:r w:rsidR="00884FB2">
        <w:t xml:space="preserve">. </w:t>
      </w:r>
      <w:r w:rsidR="000B4DF8">
        <w:t xml:space="preserve">The school district surveyed employs </w:t>
      </w:r>
      <w:r w:rsidR="00115F36">
        <w:t xml:space="preserve">a considerable </w:t>
      </w:r>
      <w:r w:rsidR="000B4DF8">
        <w:t xml:space="preserve">number of our completers relative to other, surrounding districts. </w:t>
      </w:r>
      <w:r w:rsidR="00C9213F">
        <w:t xml:space="preserve">Responses </w:t>
      </w:r>
      <w:r w:rsidR="00006A86">
        <w:t xml:space="preserve">for the current survey </w:t>
      </w:r>
      <w:r w:rsidR="00C9213F">
        <w:t xml:space="preserve">were obtained from a total of </w:t>
      </w:r>
      <w:r w:rsidR="00006A86">
        <w:t>8</w:t>
      </w:r>
      <w:r w:rsidR="00C9213F">
        <w:t xml:space="preserve"> principals </w:t>
      </w:r>
      <w:r w:rsidR="006F4F3E">
        <w:t xml:space="preserve">from 8 different schools </w:t>
      </w:r>
      <w:r w:rsidR="00B94DEF">
        <w:t xml:space="preserve">in the school district </w:t>
      </w:r>
      <w:r w:rsidR="00C9213F">
        <w:t xml:space="preserve">representing </w:t>
      </w:r>
      <w:r w:rsidR="00006A86">
        <w:t>## employees/completers</w:t>
      </w:r>
      <w:r w:rsidR="000E79A9">
        <w:t xml:space="preserve"> of Salisbur</w:t>
      </w:r>
      <w:r w:rsidR="009F4516">
        <w:t>y University education programs</w:t>
      </w:r>
      <w:r w:rsidR="00006A86">
        <w:t xml:space="preserve">. </w:t>
      </w:r>
    </w:p>
    <w:p w:rsidR="000B463A" w:rsidRPr="0089424F" w:rsidRDefault="00B721C8" w:rsidP="00FC759B">
      <w:pPr>
        <w:spacing w:after="120"/>
        <w:rPr>
          <w:b/>
        </w:rPr>
      </w:pPr>
      <w:r>
        <w:rPr>
          <w:b/>
        </w:rPr>
        <w:t xml:space="preserve">Section II. </w:t>
      </w:r>
      <w:r w:rsidR="005622F7">
        <w:rPr>
          <w:b/>
        </w:rPr>
        <w:t xml:space="preserve">Employer Survey Items </w:t>
      </w:r>
    </w:p>
    <w:p w:rsidR="00C44D07" w:rsidRDefault="003D1E3C" w:rsidP="00FC759B">
      <w:pPr>
        <w:spacing w:after="0"/>
      </w:pPr>
      <w:r>
        <w:t xml:space="preserve">To assess </w:t>
      </w:r>
      <w:r w:rsidR="007400F9">
        <w:t xml:space="preserve">employers’ perceptions of our </w:t>
      </w:r>
      <w:r w:rsidR="00C066B3">
        <w:t>completers</w:t>
      </w:r>
      <w:r w:rsidR="007400F9">
        <w:t xml:space="preserve">’ performance, a 10-item measure was administered. </w:t>
      </w:r>
      <w:r w:rsidR="00936CEC">
        <w:t>As with the previous administration in 2018, t</w:t>
      </w:r>
      <w:r w:rsidR="007647D1">
        <w:t xml:space="preserve">he items were co-developed, </w:t>
      </w:r>
      <w:r w:rsidR="00F375CF">
        <w:t>endorsed</w:t>
      </w:r>
      <w:r w:rsidR="007647D1">
        <w:t>, and refined</w:t>
      </w:r>
      <w:r w:rsidR="00F375CF">
        <w:t xml:space="preserve"> by the Maryland Assessment Collaborative. The items were administe</w:t>
      </w:r>
      <w:r w:rsidR="006F28BA">
        <w:t>red on a 4-point scale: 1-Not at all; 2-Minimally; 3-Inconsistently; 4-Consistently</w:t>
      </w:r>
      <w:r w:rsidR="00F375CF">
        <w:t xml:space="preserve">. </w:t>
      </w:r>
      <w:r w:rsidR="007400F9">
        <w:t>Each of the items has been aligned with relevant InTASC and CAEP standards, supporting</w:t>
      </w:r>
      <w:r w:rsidR="002012B8">
        <w:t xml:space="preserve"> </w:t>
      </w:r>
      <w:r w:rsidR="007400F9">
        <w:t xml:space="preserve">validity evidence based on test content (i.e., Standards for Educational and Psychological Testing, AERA, APA, NCME, 2014). To evaluate reliability evidence for the items used in the </w:t>
      </w:r>
      <w:r w:rsidR="00664D90">
        <w:t>employer</w:t>
      </w:r>
      <w:r w:rsidR="007400F9">
        <w:t xml:space="preserve"> survey, internal consistency reliability was examined. Internal consistency reliability is commonly used to evaluate the reliability of a set of test or questionnaire items. Internal consistency reliability provides an indication of an instrument’s reliability by estimating the extent to which items on an instrument consistently measure the same construct (e.g., intern performance).</w:t>
      </w:r>
      <w:r w:rsidR="007400F9">
        <w:rPr>
          <w:vertAlign w:val="superscript"/>
        </w:rPr>
        <w:t>1</w:t>
      </w:r>
      <w:r w:rsidR="007400F9">
        <w:t xml:space="preserve"> </w:t>
      </w:r>
      <w:r w:rsidR="00FE588E">
        <w:t>Reliability of</w:t>
      </w:r>
      <w:r w:rsidR="00C44D07">
        <w:t xml:space="preserve"> the items </w:t>
      </w:r>
      <w:r w:rsidR="00FE588E">
        <w:t xml:space="preserve">in the current administration </w:t>
      </w:r>
      <w:r w:rsidR="007408F4">
        <w:t>was strong (α=0.93</w:t>
      </w:r>
      <w:r w:rsidR="00C44D07">
        <w:t xml:space="preserve">). </w:t>
      </w:r>
    </w:p>
    <w:p w:rsidR="00FD2830" w:rsidRPr="00C40884" w:rsidRDefault="00FD2830" w:rsidP="00FC759B">
      <w:pPr>
        <w:spacing w:after="0"/>
        <w:rPr>
          <w:sz w:val="20"/>
        </w:rPr>
      </w:pPr>
    </w:p>
    <w:p w:rsidR="00092E85" w:rsidRDefault="00092E85" w:rsidP="00092E85">
      <w:pPr>
        <w:spacing w:after="0"/>
      </w:pPr>
      <w:r w:rsidRPr="00437872">
        <w:rPr>
          <w:i/>
        </w:rPr>
        <w:t>Table 1</w:t>
      </w:r>
      <w:r>
        <w:t xml:space="preserve">. </w:t>
      </w:r>
      <w:r w:rsidR="00953512">
        <w:t>Employer Survey Items</w:t>
      </w:r>
      <w:r w:rsidR="009C74B3">
        <w:t xml:space="preserve"> – Descriptive Information</w:t>
      </w:r>
    </w:p>
    <w:tbl>
      <w:tblPr>
        <w:tblStyle w:val="TableGrid"/>
        <w:tblW w:w="0" w:type="auto"/>
        <w:tblLook w:val="04A0" w:firstRow="1" w:lastRow="0" w:firstColumn="1" w:lastColumn="0" w:noHBand="0" w:noVBand="1"/>
      </w:tblPr>
      <w:tblGrid>
        <w:gridCol w:w="5215"/>
        <w:gridCol w:w="761"/>
        <w:gridCol w:w="761"/>
        <w:gridCol w:w="761"/>
        <w:gridCol w:w="761"/>
        <w:gridCol w:w="761"/>
        <w:gridCol w:w="762"/>
      </w:tblGrid>
      <w:tr w:rsidR="00885123" w:rsidTr="00885123">
        <w:tc>
          <w:tcPr>
            <w:tcW w:w="5215" w:type="dxa"/>
            <w:vMerge w:val="restart"/>
            <w:vAlign w:val="center"/>
          </w:tcPr>
          <w:p w:rsidR="00885123" w:rsidRPr="00885123" w:rsidRDefault="00885123" w:rsidP="00F17DDB">
            <w:pPr>
              <w:rPr>
                <w:sz w:val="20"/>
                <w:szCs w:val="20"/>
              </w:rPr>
            </w:pPr>
            <w:r w:rsidRPr="00885123">
              <w:rPr>
                <w:sz w:val="20"/>
                <w:szCs w:val="20"/>
              </w:rPr>
              <w:t>Employer Survey Item</w:t>
            </w:r>
          </w:p>
        </w:tc>
        <w:tc>
          <w:tcPr>
            <w:tcW w:w="2283" w:type="dxa"/>
            <w:gridSpan w:val="3"/>
            <w:tcBorders>
              <w:top w:val="single" w:sz="4" w:space="0" w:color="auto"/>
              <w:bottom w:val="single" w:sz="4" w:space="0" w:color="auto"/>
              <w:right w:val="single" w:sz="12" w:space="0" w:color="auto"/>
            </w:tcBorders>
            <w:vAlign w:val="center"/>
          </w:tcPr>
          <w:p w:rsidR="00885123" w:rsidRPr="00885123" w:rsidRDefault="00885123" w:rsidP="00885123">
            <w:pPr>
              <w:jc w:val="center"/>
              <w:rPr>
                <w:sz w:val="20"/>
                <w:szCs w:val="20"/>
              </w:rPr>
            </w:pPr>
            <w:r w:rsidRPr="00885123">
              <w:rPr>
                <w:sz w:val="20"/>
                <w:szCs w:val="20"/>
              </w:rPr>
              <w:t>2018</w:t>
            </w:r>
          </w:p>
        </w:tc>
        <w:tc>
          <w:tcPr>
            <w:tcW w:w="2284" w:type="dxa"/>
            <w:gridSpan w:val="3"/>
            <w:tcBorders>
              <w:top w:val="single" w:sz="6" w:space="0" w:color="auto"/>
              <w:left w:val="single" w:sz="12" w:space="0" w:color="auto"/>
              <w:bottom w:val="single" w:sz="6" w:space="0" w:color="auto"/>
              <w:right w:val="single" w:sz="4" w:space="0" w:color="auto"/>
            </w:tcBorders>
            <w:vAlign w:val="center"/>
          </w:tcPr>
          <w:p w:rsidR="00885123" w:rsidRPr="00885123" w:rsidRDefault="00885123" w:rsidP="00885123">
            <w:pPr>
              <w:jc w:val="center"/>
              <w:rPr>
                <w:sz w:val="20"/>
                <w:szCs w:val="20"/>
              </w:rPr>
            </w:pPr>
            <w:r w:rsidRPr="00885123">
              <w:rPr>
                <w:sz w:val="20"/>
                <w:szCs w:val="20"/>
              </w:rPr>
              <w:t>2019</w:t>
            </w:r>
          </w:p>
        </w:tc>
      </w:tr>
      <w:tr w:rsidR="00885123" w:rsidTr="00885123">
        <w:tc>
          <w:tcPr>
            <w:tcW w:w="5215" w:type="dxa"/>
            <w:vMerge/>
            <w:vAlign w:val="center"/>
          </w:tcPr>
          <w:p w:rsidR="00885123" w:rsidRPr="00885123" w:rsidRDefault="00885123" w:rsidP="00885123">
            <w:pPr>
              <w:rPr>
                <w:sz w:val="20"/>
                <w:szCs w:val="20"/>
              </w:rPr>
            </w:pPr>
          </w:p>
        </w:tc>
        <w:tc>
          <w:tcPr>
            <w:tcW w:w="761" w:type="dxa"/>
            <w:tcBorders>
              <w:top w:val="single" w:sz="4" w:space="0" w:color="auto"/>
              <w:bottom w:val="single" w:sz="4" w:space="0" w:color="auto"/>
              <w:right w:val="single" w:sz="4" w:space="0" w:color="auto"/>
            </w:tcBorders>
            <w:vAlign w:val="center"/>
          </w:tcPr>
          <w:p w:rsidR="00885123" w:rsidRPr="00885123" w:rsidRDefault="00885123" w:rsidP="00885123">
            <w:pPr>
              <w:jc w:val="center"/>
              <w:rPr>
                <w:i/>
                <w:sz w:val="20"/>
                <w:szCs w:val="20"/>
              </w:rPr>
            </w:pPr>
            <w:r w:rsidRPr="00885123">
              <w:rPr>
                <w:i/>
                <w:sz w:val="20"/>
                <w:szCs w:val="20"/>
              </w:rPr>
              <w:t>M</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5123" w:rsidRDefault="00885123" w:rsidP="00885123">
            <w:pPr>
              <w:jc w:val="center"/>
              <w:rPr>
                <w:i/>
                <w:sz w:val="20"/>
                <w:szCs w:val="20"/>
              </w:rPr>
            </w:pPr>
            <w:r w:rsidRPr="00885123">
              <w:rPr>
                <w:i/>
                <w:sz w:val="20"/>
                <w:szCs w:val="20"/>
              </w:rPr>
              <w:t>Mdn</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Pr="00885123" w:rsidRDefault="00885123" w:rsidP="00885123">
            <w:pPr>
              <w:jc w:val="center"/>
              <w:rPr>
                <w:i/>
                <w:sz w:val="20"/>
                <w:szCs w:val="20"/>
              </w:rPr>
            </w:pPr>
            <w:r w:rsidRPr="00885123">
              <w:rPr>
                <w:i/>
                <w:sz w:val="20"/>
                <w:szCs w:val="20"/>
              </w:rPr>
              <w:t>SD</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Pr="00885123" w:rsidRDefault="00885123" w:rsidP="00885123">
            <w:pPr>
              <w:jc w:val="center"/>
              <w:rPr>
                <w:i/>
                <w:sz w:val="20"/>
                <w:szCs w:val="20"/>
              </w:rPr>
            </w:pPr>
            <w:r w:rsidRPr="00885123">
              <w:rPr>
                <w:i/>
                <w:sz w:val="20"/>
                <w:szCs w:val="20"/>
              </w:rPr>
              <w:t>M</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Pr="00885123" w:rsidRDefault="00885123" w:rsidP="00885123">
            <w:pPr>
              <w:jc w:val="center"/>
              <w:rPr>
                <w:i/>
                <w:sz w:val="20"/>
                <w:szCs w:val="20"/>
              </w:rPr>
            </w:pPr>
            <w:r w:rsidRPr="00885123">
              <w:rPr>
                <w:i/>
                <w:sz w:val="20"/>
                <w:szCs w:val="20"/>
              </w:rPr>
              <w:t>Mdn</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Pr="00885123" w:rsidRDefault="00885123" w:rsidP="00885123">
            <w:pPr>
              <w:jc w:val="center"/>
              <w:rPr>
                <w:i/>
                <w:sz w:val="20"/>
                <w:szCs w:val="20"/>
              </w:rPr>
            </w:pPr>
            <w:r w:rsidRPr="00885123">
              <w:rPr>
                <w:i/>
                <w:sz w:val="20"/>
                <w:szCs w:val="20"/>
              </w:rPr>
              <w:t>SD</w:t>
            </w:r>
          </w:p>
        </w:tc>
      </w:tr>
      <w:tr w:rsidR="00885123" w:rsidTr="00885123">
        <w:tc>
          <w:tcPr>
            <w:tcW w:w="5215" w:type="dxa"/>
            <w:vAlign w:val="center"/>
          </w:tcPr>
          <w:p w:rsidR="00885123" w:rsidRDefault="00885123" w:rsidP="00F17DDB">
            <w:pPr>
              <w:rPr>
                <w:sz w:val="20"/>
                <w:szCs w:val="20"/>
              </w:rPr>
            </w:pPr>
            <w:r>
              <w:rPr>
                <w:sz w:val="20"/>
                <w:szCs w:val="20"/>
              </w:rPr>
              <w:t xml:space="preserve">1. Understands the diverse needs of students </w:t>
            </w:r>
          </w:p>
          <w:p w:rsidR="00885123" w:rsidRPr="00C97A11" w:rsidRDefault="00885123" w:rsidP="00F17DDB">
            <w:pPr>
              <w:rPr>
                <w:sz w:val="20"/>
                <w:szCs w:val="20"/>
              </w:rPr>
            </w:pPr>
            <w:r>
              <w:rPr>
                <w:sz w:val="20"/>
                <w:szCs w:val="20"/>
              </w:rPr>
              <w:t>(InTASC 2; CAEP 1.1, 4.3/A.4.1)</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3.38</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0.79</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4.38</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4.50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0.74</w:t>
            </w:r>
          </w:p>
        </w:tc>
      </w:tr>
      <w:tr w:rsidR="00885123" w:rsidTr="00885123">
        <w:tc>
          <w:tcPr>
            <w:tcW w:w="5215" w:type="dxa"/>
            <w:vAlign w:val="center"/>
          </w:tcPr>
          <w:p w:rsidR="00885123" w:rsidRDefault="00885123" w:rsidP="00F17DDB">
            <w:pPr>
              <w:rPr>
                <w:sz w:val="20"/>
                <w:szCs w:val="20"/>
              </w:rPr>
            </w:pPr>
            <w:r>
              <w:rPr>
                <w:sz w:val="20"/>
                <w:szCs w:val="20"/>
              </w:rPr>
              <w:t xml:space="preserve">2. Plans for the diverse needs of students </w:t>
            </w:r>
          </w:p>
          <w:p w:rsidR="00885123" w:rsidRPr="00C97A11" w:rsidRDefault="00885123" w:rsidP="00F17DDB">
            <w:pPr>
              <w:rPr>
                <w:sz w:val="20"/>
                <w:szCs w:val="20"/>
              </w:rPr>
            </w:pPr>
            <w:r>
              <w:rPr>
                <w:sz w:val="20"/>
                <w:szCs w:val="20"/>
              </w:rPr>
              <w:t>(InTASC 7; CAEP 1.1, 4.3/A.4.1)</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3.50</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0.79</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4.38</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4.50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0.74</w:t>
            </w:r>
          </w:p>
        </w:tc>
      </w:tr>
      <w:tr w:rsidR="00885123" w:rsidTr="00885123">
        <w:tc>
          <w:tcPr>
            <w:tcW w:w="5215" w:type="dxa"/>
            <w:vAlign w:val="center"/>
          </w:tcPr>
          <w:p w:rsidR="00885123" w:rsidRDefault="00885123" w:rsidP="00F17DDB">
            <w:pPr>
              <w:rPr>
                <w:sz w:val="20"/>
                <w:szCs w:val="20"/>
              </w:rPr>
            </w:pPr>
            <w:r>
              <w:rPr>
                <w:sz w:val="20"/>
                <w:szCs w:val="20"/>
              </w:rPr>
              <w:t xml:space="preserve">3. Knows the required content </w:t>
            </w:r>
          </w:p>
          <w:p w:rsidR="00885123" w:rsidRPr="00C97A11" w:rsidRDefault="00885123" w:rsidP="00F17DDB">
            <w:pPr>
              <w:rPr>
                <w:sz w:val="20"/>
                <w:szCs w:val="20"/>
              </w:rPr>
            </w:pPr>
            <w:r>
              <w:rPr>
                <w:sz w:val="20"/>
                <w:szCs w:val="20"/>
              </w:rPr>
              <w:t>(InTASC 4; CAEP 1.1, 4.3/A.4.1)</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3.75</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0.38</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4.88</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0.35</w:t>
            </w:r>
          </w:p>
        </w:tc>
      </w:tr>
      <w:tr w:rsidR="00885123" w:rsidTr="00885123">
        <w:tc>
          <w:tcPr>
            <w:tcW w:w="5215" w:type="dxa"/>
            <w:vAlign w:val="center"/>
          </w:tcPr>
          <w:p w:rsidR="00885123" w:rsidRDefault="00885123" w:rsidP="000C14A7">
            <w:pPr>
              <w:rPr>
                <w:sz w:val="20"/>
                <w:szCs w:val="20"/>
              </w:rPr>
            </w:pPr>
            <w:r>
              <w:rPr>
                <w:sz w:val="20"/>
                <w:szCs w:val="20"/>
              </w:rPr>
              <w:t xml:space="preserve">4. Teaches required content </w:t>
            </w:r>
          </w:p>
          <w:p w:rsidR="00885123" w:rsidRPr="00C97A11" w:rsidRDefault="00885123" w:rsidP="000C14A7">
            <w:pPr>
              <w:rPr>
                <w:sz w:val="20"/>
                <w:szCs w:val="20"/>
              </w:rPr>
            </w:pPr>
            <w:r>
              <w:rPr>
                <w:sz w:val="20"/>
                <w:szCs w:val="20"/>
              </w:rPr>
              <w:t>(InTASC 5; CAEP 1.1, 4.3/A.4.1)</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3.88</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0.38</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4.88</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0.35</w:t>
            </w:r>
          </w:p>
        </w:tc>
      </w:tr>
      <w:tr w:rsidR="00C23300" w:rsidTr="00885123">
        <w:tc>
          <w:tcPr>
            <w:tcW w:w="5215" w:type="dxa"/>
            <w:vAlign w:val="center"/>
          </w:tcPr>
          <w:p w:rsidR="00C23300" w:rsidRDefault="00C23300" w:rsidP="00C23300">
            <w:pPr>
              <w:rPr>
                <w:sz w:val="20"/>
                <w:szCs w:val="20"/>
              </w:rPr>
            </w:pPr>
            <w:r>
              <w:rPr>
                <w:sz w:val="20"/>
                <w:szCs w:val="20"/>
              </w:rPr>
              <w:t xml:space="preserve">5. Creates a respectful environment that supports learning for all students </w:t>
            </w:r>
          </w:p>
          <w:p w:rsidR="00C23300" w:rsidRPr="00C97A11" w:rsidRDefault="00C23300" w:rsidP="00C23300">
            <w:pPr>
              <w:rPr>
                <w:sz w:val="20"/>
                <w:szCs w:val="20"/>
              </w:rPr>
            </w:pPr>
            <w:r>
              <w:rPr>
                <w:sz w:val="20"/>
                <w:szCs w:val="20"/>
              </w:rPr>
              <w:t>(InTASC 3; CAEP 1.1, 4.3/A.4.1)</w:t>
            </w:r>
          </w:p>
        </w:tc>
        <w:tc>
          <w:tcPr>
            <w:tcW w:w="761" w:type="dxa"/>
            <w:tcBorders>
              <w:top w:val="single" w:sz="4" w:space="0" w:color="auto"/>
              <w:bottom w:val="single" w:sz="4" w:space="0" w:color="auto"/>
              <w:right w:val="single" w:sz="4" w:space="0" w:color="auto"/>
            </w:tcBorders>
            <w:vAlign w:val="center"/>
          </w:tcPr>
          <w:p w:rsidR="00C23300" w:rsidRPr="00886FF1" w:rsidRDefault="00C23300" w:rsidP="00C23300">
            <w:pPr>
              <w:jc w:val="center"/>
              <w:rPr>
                <w:sz w:val="20"/>
                <w:szCs w:val="20"/>
              </w:rPr>
            </w:pPr>
            <w:r>
              <w:rPr>
                <w:sz w:val="20"/>
                <w:szCs w:val="20"/>
              </w:rPr>
              <w:t>3.88</w:t>
            </w:r>
          </w:p>
        </w:tc>
        <w:tc>
          <w:tcPr>
            <w:tcW w:w="761" w:type="dxa"/>
            <w:tcBorders>
              <w:top w:val="single" w:sz="4" w:space="0" w:color="auto"/>
              <w:left w:val="single" w:sz="4" w:space="0" w:color="auto"/>
              <w:bottom w:val="single" w:sz="4" w:space="0" w:color="auto"/>
              <w:right w:val="single" w:sz="4" w:space="0" w:color="auto"/>
            </w:tcBorders>
            <w:vAlign w:val="center"/>
          </w:tcPr>
          <w:p w:rsidR="00C23300" w:rsidRPr="00886FF1" w:rsidRDefault="00C23300" w:rsidP="00C23300">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C23300" w:rsidRDefault="00C23300" w:rsidP="00C23300">
            <w:pPr>
              <w:jc w:val="center"/>
              <w:rPr>
                <w:sz w:val="20"/>
                <w:szCs w:val="20"/>
              </w:rPr>
            </w:pPr>
            <w:r>
              <w:rPr>
                <w:sz w:val="20"/>
                <w:szCs w:val="20"/>
              </w:rPr>
              <w:t>0.38</w:t>
            </w:r>
          </w:p>
        </w:tc>
        <w:tc>
          <w:tcPr>
            <w:tcW w:w="761" w:type="dxa"/>
            <w:tcBorders>
              <w:top w:val="single" w:sz="6" w:space="0" w:color="auto"/>
              <w:left w:val="single" w:sz="12" w:space="0" w:color="auto"/>
              <w:bottom w:val="single" w:sz="6" w:space="0" w:color="auto"/>
              <w:right w:val="single" w:sz="6" w:space="0" w:color="auto"/>
            </w:tcBorders>
            <w:vAlign w:val="center"/>
          </w:tcPr>
          <w:p w:rsidR="00C23300" w:rsidRDefault="00C23300" w:rsidP="00C23300">
            <w:pPr>
              <w:jc w:val="center"/>
              <w:rPr>
                <w:sz w:val="20"/>
                <w:szCs w:val="20"/>
              </w:rPr>
            </w:pPr>
            <w:r>
              <w:rPr>
                <w:sz w:val="20"/>
                <w:szCs w:val="20"/>
              </w:rPr>
              <w:t>4.88</w:t>
            </w:r>
          </w:p>
        </w:tc>
        <w:tc>
          <w:tcPr>
            <w:tcW w:w="761" w:type="dxa"/>
            <w:tcBorders>
              <w:top w:val="single" w:sz="4" w:space="0" w:color="auto"/>
              <w:left w:val="single" w:sz="6" w:space="0" w:color="auto"/>
              <w:bottom w:val="single" w:sz="4" w:space="0" w:color="auto"/>
              <w:right w:val="single" w:sz="4" w:space="0" w:color="auto"/>
            </w:tcBorders>
            <w:vAlign w:val="center"/>
          </w:tcPr>
          <w:p w:rsidR="00C23300" w:rsidRDefault="00C23300" w:rsidP="00C23300">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C23300" w:rsidRDefault="00C23300" w:rsidP="00C23300">
            <w:pPr>
              <w:jc w:val="center"/>
              <w:rPr>
                <w:sz w:val="20"/>
                <w:szCs w:val="20"/>
              </w:rPr>
            </w:pPr>
            <w:r>
              <w:rPr>
                <w:sz w:val="20"/>
                <w:szCs w:val="20"/>
              </w:rPr>
              <w:t>0.35</w:t>
            </w:r>
          </w:p>
        </w:tc>
      </w:tr>
      <w:tr w:rsidR="00C23300" w:rsidTr="00885123">
        <w:tc>
          <w:tcPr>
            <w:tcW w:w="5215" w:type="dxa"/>
            <w:vAlign w:val="center"/>
          </w:tcPr>
          <w:p w:rsidR="00C23300" w:rsidRDefault="00C23300" w:rsidP="00C23300">
            <w:pPr>
              <w:rPr>
                <w:sz w:val="20"/>
                <w:szCs w:val="20"/>
              </w:rPr>
            </w:pPr>
            <w:r>
              <w:rPr>
                <w:sz w:val="20"/>
                <w:szCs w:val="20"/>
              </w:rPr>
              <w:t xml:space="preserve">6. Implements effective instruction that engages students in learning </w:t>
            </w:r>
          </w:p>
          <w:p w:rsidR="00C23300" w:rsidRPr="00C97A11" w:rsidRDefault="00C23300" w:rsidP="00C23300">
            <w:pPr>
              <w:rPr>
                <w:sz w:val="20"/>
                <w:szCs w:val="20"/>
              </w:rPr>
            </w:pPr>
            <w:r>
              <w:rPr>
                <w:sz w:val="20"/>
                <w:szCs w:val="20"/>
              </w:rPr>
              <w:t>(InTASC 8; CAEP 1.1, 4.3/A.4.1)</w:t>
            </w:r>
          </w:p>
        </w:tc>
        <w:tc>
          <w:tcPr>
            <w:tcW w:w="761" w:type="dxa"/>
            <w:tcBorders>
              <w:top w:val="single" w:sz="4" w:space="0" w:color="auto"/>
              <w:bottom w:val="single" w:sz="4" w:space="0" w:color="auto"/>
              <w:right w:val="single" w:sz="4" w:space="0" w:color="auto"/>
            </w:tcBorders>
            <w:vAlign w:val="center"/>
          </w:tcPr>
          <w:p w:rsidR="00C23300" w:rsidRPr="00886FF1" w:rsidRDefault="00C23300" w:rsidP="00C23300">
            <w:pPr>
              <w:jc w:val="center"/>
              <w:rPr>
                <w:sz w:val="20"/>
                <w:szCs w:val="20"/>
              </w:rPr>
            </w:pPr>
            <w:r>
              <w:rPr>
                <w:sz w:val="20"/>
                <w:szCs w:val="20"/>
              </w:rPr>
              <w:t>3.75</w:t>
            </w:r>
          </w:p>
        </w:tc>
        <w:tc>
          <w:tcPr>
            <w:tcW w:w="761" w:type="dxa"/>
            <w:tcBorders>
              <w:top w:val="single" w:sz="4" w:space="0" w:color="auto"/>
              <w:left w:val="single" w:sz="4" w:space="0" w:color="auto"/>
              <w:bottom w:val="single" w:sz="4" w:space="0" w:color="auto"/>
              <w:right w:val="single" w:sz="4" w:space="0" w:color="auto"/>
            </w:tcBorders>
            <w:vAlign w:val="center"/>
          </w:tcPr>
          <w:p w:rsidR="00C23300" w:rsidRPr="00886FF1" w:rsidRDefault="00C23300" w:rsidP="00C23300">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C23300" w:rsidRDefault="00C23300" w:rsidP="00C23300">
            <w:pPr>
              <w:jc w:val="center"/>
              <w:rPr>
                <w:sz w:val="20"/>
                <w:szCs w:val="20"/>
              </w:rPr>
            </w:pPr>
            <w:r>
              <w:rPr>
                <w:sz w:val="20"/>
                <w:szCs w:val="20"/>
              </w:rPr>
              <w:t>0.49</w:t>
            </w:r>
          </w:p>
        </w:tc>
        <w:tc>
          <w:tcPr>
            <w:tcW w:w="761" w:type="dxa"/>
            <w:tcBorders>
              <w:top w:val="single" w:sz="6" w:space="0" w:color="auto"/>
              <w:left w:val="single" w:sz="12" w:space="0" w:color="auto"/>
              <w:bottom w:val="single" w:sz="6" w:space="0" w:color="auto"/>
              <w:right w:val="single" w:sz="6" w:space="0" w:color="auto"/>
            </w:tcBorders>
            <w:vAlign w:val="center"/>
          </w:tcPr>
          <w:p w:rsidR="00C23300" w:rsidRDefault="00C23300" w:rsidP="00C23300">
            <w:pPr>
              <w:jc w:val="center"/>
              <w:rPr>
                <w:sz w:val="20"/>
                <w:szCs w:val="20"/>
              </w:rPr>
            </w:pPr>
            <w:r>
              <w:rPr>
                <w:sz w:val="20"/>
                <w:szCs w:val="20"/>
              </w:rPr>
              <w:t>4.88</w:t>
            </w:r>
          </w:p>
        </w:tc>
        <w:tc>
          <w:tcPr>
            <w:tcW w:w="761" w:type="dxa"/>
            <w:tcBorders>
              <w:top w:val="single" w:sz="4" w:space="0" w:color="auto"/>
              <w:left w:val="single" w:sz="6" w:space="0" w:color="auto"/>
              <w:bottom w:val="single" w:sz="4" w:space="0" w:color="auto"/>
              <w:right w:val="single" w:sz="4" w:space="0" w:color="auto"/>
            </w:tcBorders>
            <w:vAlign w:val="center"/>
          </w:tcPr>
          <w:p w:rsidR="00C23300" w:rsidRDefault="00C23300" w:rsidP="00C23300">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C23300" w:rsidRDefault="00C23300" w:rsidP="00C23300">
            <w:pPr>
              <w:jc w:val="center"/>
              <w:rPr>
                <w:sz w:val="20"/>
                <w:szCs w:val="20"/>
              </w:rPr>
            </w:pPr>
            <w:r>
              <w:rPr>
                <w:sz w:val="20"/>
                <w:szCs w:val="20"/>
              </w:rPr>
              <w:t>0.35</w:t>
            </w:r>
          </w:p>
        </w:tc>
      </w:tr>
      <w:tr w:rsidR="00885123" w:rsidTr="00885123">
        <w:tc>
          <w:tcPr>
            <w:tcW w:w="5215" w:type="dxa"/>
            <w:vAlign w:val="center"/>
          </w:tcPr>
          <w:p w:rsidR="00885123" w:rsidRDefault="00885123" w:rsidP="00F17DDB">
            <w:pPr>
              <w:rPr>
                <w:sz w:val="20"/>
                <w:szCs w:val="20"/>
              </w:rPr>
            </w:pPr>
            <w:r>
              <w:rPr>
                <w:sz w:val="20"/>
                <w:szCs w:val="20"/>
              </w:rPr>
              <w:t xml:space="preserve">7. Implements a range of assessments to measure progress of learners to improve instruction </w:t>
            </w:r>
          </w:p>
          <w:p w:rsidR="00885123" w:rsidRPr="00C97A11" w:rsidRDefault="00885123" w:rsidP="00F17DDB">
            <w:pPr>
              <w:rPr>
                <w:sz w:val="20"/>
                <w:szCs w:val="20"/>
              </w:rPr>
            </w:pPr>
            <w:r>
              <w:rPr>
                <w:sz w:val="20"/>
                <w:szCs w:val="20"/>
              </w:rPr>
              <w:t xml:space="preserve">(InTASC 6; CAEP 1.1, 4.3/A.4.1) </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3.75</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0.76</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4.25</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1.39</w:t>
            </w:r>
          </w:p>
        </w:tc>
      </w:tr>
      <w:tr w:rsidR="00885123" w:rsidTr="00885123">
        <w:tc>
          <w:tcPr>
            <w:tcW w:w="5215" w:type="dxa"/>
            <w:vAlign w:val="center"/>
          </w:tcPr>
          <w:p w:rsidR="00885123" w:rsidRDefault="00885123" w:rsidP="00F17DDB">
            <w:pPr>
              <w:rPr>
                <w:sz w:val="20"/>
                <w:szCs w:val="20"/>
              </w:rPr>
            </w:pPr>
            <w:r>
              <w:rPr>
                <w:sz w:val="20"/>
                <w:szCs w:val="20"/>
              </w:rPr>
              <w:t xml:space="preserve">8. Demonstrates professionalism </w:t>
            </w:r>
          </w:p>
          <w:p w:rsidR="00885123" w:rsidRPr="00C97A11" w:rsidRDefault="00885123" w:rsidP="00F17DDB">
            <w:pPr>
              <w:rPr>
                <w:sz w:val="20"/>
                <w:szCs w:val="20"/>
              </w:rPr>
            </w:pPr>
            <w:r>
              <w:rPr>
                <w:sz w:val="20"/>
                <w:szCs w:val="20"/>
              </w:rPr>
              <w:t xml:space="preserve">(InTASC 9; MCEE; CAEP 1.1, 4.3/A.4.1) </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3.88</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0.38</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4.75</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0.46</w:t>
            </w:r>
          </w:p>
        </w:tc>
      </w:tr>
      <w:tr w:rsidR="00885123" w:rsidTr="00885123">
        <w:tc>
          <w:tcPr>
            <w:tcW w:w="5215" w:type="dxa"/>
            <w:vAlign w:val="center"/>
          </w:tcPr>
          <w:p w:rsidR="00885123" w:rsidRDefault="00885123" w:rsidP="00F17DDB">
            <w:pPr>
              <w:rPr>
                <w:sz w:val="20"/>
                <w:szCs w:val="20"/>
              </w:rPr>
            </w:pPr>
            <w:r>
              <w:rPr>
                <w:sz w:val="20"/>
                <w:szCs w:val="20"/>
              </w:rPr>
              <w:t xml:space="preserve">9. Uses technology in ways that improve student learning </w:t>
            </w:r>
          </w:p>
          <w:p w:rsidR="00885123" w:rsidRPr="00C97A11" w:rsidRDefault="00885123" w:rsidP="00F17DDB">
            <w:pPr>
              <w:rPr>
                <w:sz w:val="20"/>
                <w:szCs w:val="20"/>
              </w:rPr>
            </w:pPr>
            <w:r>
              <w:rPr>
                <w:sz w:val="20"/>
                <w:szCs w:val="20"/>
              </w:rPr>
              <w:t xml:space="preserve">(ISTE; CAEP 1.5, 4.3/A.4.1) </w:t>
            </w:r>
          </w:p>
        </w:tc>
        <w:tc>
          <w:tcPr>
            <w:tcW w:w="761" w:type="dxa"/>
            <w:tcBorders>
              <w:top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3.88</w:t>
            </w:r>
          </w:p>
        </w:tc>
        <w:tc>
          <w:tcPr>
            <w:tcW w:w="761" w:type="dxa"/>
            <w:tcBorders>
              <w:top w:val="single" w:sz="4" w:space="0" w:color="auto"/>
              <w:left w:val="single" w:sz="4" w:space="0" w:color="auto"/>
              <w:bottom w:val="single" w:sz="4" w:space="0" w:color="auto"/>
              <w:right w:val="single" w:sz="4" w:space="0" w:color="auto"/>
            </w:tcBorders>
            <w:vAlign w:val="center"/>
          </w:tcPr>
          <w:p w:rsidR="00885123" w:rsidRPr="00886FF1" w:rsidRDefault="00885123" w:rsidP="00885123">
            <w:pPr>
              <w:jc w:val="center"/>
              <w:rPr>
                <w:sz w:val="20"/>
                <w:szCs w:val="20"/>
              </w:rPr>
            </w:pPr>
            <w:r>
              <w:rPr>
                <w:sz w:val="20"/>
                <w:szCs w:val="20"/>
              </w:rPr>
              <w:t>4.00</w:t>
            </w:r>
          </w:p>
        </w:tc>
        <w:tc>
          <w:tcPr>
            <w:tcW w:w="761" w:type="dxa"/>
            <w:tcBorders>
              <w:top w:val="single" w:sz="4" w:space="0" w:color="auto"/>
              <w:left w:val="single" w:sz="4" w:space="0" w:color="auto"/>
              <w:bottom w:val="single" w:sz="4" w:space="0" w:color="auto"/>
              <w:right w:val="single" w:sz="12" w:space="0" w:color="auto"/>
            </w:tcBorders>
            <w:vAlign w:val="center"/>
          </w:tcPr>
          <w:p w:rsidR="00885123" w:rsidRDefault="00885123" w:rsidP="00885123">
            <w:pPr>
              <w:jc w:val="center"/>
              <w:rPr>
                <w:sz w:val="20"/>
                <w:szCs w:val="20"/>
              </w:rPr>
            </w:pPr>
            <w:r>
              <w:rPr>
                <w:sz w:val="20"/>
                <w:szCs w:val="20"/>
              </w:rPr>
              <w:t>0.38</w:t>
            </w:r>
          </w:p>
        </w:tc>
        <w:tc>
          <w:tcPr>
            <w:tcW w:w="761" w:type="dxa"/>
            <w:tcBorders>
              <w:top w:val="single" w:sz="6" w:space="0" w:color="auto"/>
              <w:left w:val="single" w:sz="12" w:space="0" w:color="auto"/>
              <w:bottom w:val="single" w:sz="6" w:space="0" w:color="auto"/>
              <w:right w:val="single" w:sz="6" w:space="0" w:color="auto"/>
            </w:tcBorders>
            <w:vAlign w:val="center"/>
          </w:tcPr>
          <w:p w:rsidR="00885123" w:rsidRDefault="00C23300" w:rsidP="00885123">
            <w:pPr>
              <w:jc w:val="center"/>
              <w:rPr>
                <w:sz w:val="20"/>
                <w:szCs w:val="20"/>
              </w:rPr>
            </w:pPr>
            <w:r>
              <w:rPr>
                <w:sz w:val="20"/>
                <w:szCs w:val="20"/>
              </w:rPr>
              <w:t>4.63</w:t>
            </w:r>
          </w:p>
        </w:tc>
        <w:tc>
          <w:tcPr>
            <w:tcW w:w="761" w:type="dxa"/>
            <w:tcBorders>
              <w:top w:val="single" w:sz="4" w:space="0" w:color="auto"/>
              <w:left w:val="single" w:sz="6"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5.00</w:t>
            </w:r>
          </w:p>
        </w:tc>
        <w:tc>
          <w:tcPr>
            <w:tcW w:w="762" w:type="dxa"/>
            <w:tcBorders>
              <w:top w:val="single" w:sz="4" w:space="0" w:color="auto"/>
              <w:left w:val="single" w:sz="4" w:space="0" w:color="auto"/>
              <w:bottom w:val="single" w:sz="4" w:space="0" w:color="auto"/>
              <w:right w:val="single" w:sz="4" w:space="0" w:color="auto"/>
            </w:tcBorders>
            <w:vAlign w:val="center"/>
          </w:tcPr>
          <w:p w:rsidR="00885123" w:rsidRDefault="00C23300" w:rsidP="00885123">
            <w:pPr>
              <w:jc w:val="center"/>
              <w:rPr>
                <w:sz w:val="20"/>
                <w:szCs w:val="20"/>
              </w:rPr>
            </w:pPr>
            <w:r>
              <w:rPr>
                <w:sz w:val="20"/>
                <w:szCs w:val="20"/>
              </w:rPr>
              <w:t>0.74</w:t>
            </w:r>
          </w:p>
        </w:tc>
      </w:tr>
    </w:tbl>
    <w:p w:rsidR="0045626A" w:rsidRDefault="00482F13" w:rsidP="00201973">
      <w:r>
        <w:lastRenderedPageBreak/>
        <w:t xml:space="preserve">Descriptive information for each </w:t>
      </w:r>
      <w:r w:rsidR="0075741A">
        <w:t xml:space="preserve">of the first nine </w:t>
      </w:r>
      <w:r>
        <w:t>item</w:t>
      </w:r>
      <w:r w:rsidR="0075741A">
        <w:t>s</w:t>
      </w:r>
      <w:r>
        <w:t xml:space="preserve"> is presented in Table 1. </w:t>
      </w:r>
      <w:r w:rsidR="00A414A4">
        <w:t xml:space="preserve">As can be seen in Table </w:t>
      </w:r>
      <w:r w:rsidR="00DF675E">
        <w:t xml:space="preserve">1, </w:t>
      </w:r>
      <w:r w:rsidR="00752970">
        <w:t>all</w:t>
      </w:r>
      <w:r w:rsidR="00F4075F">
        <w:t xml:space="preserve"> mean</w:t>
      </w:r>
      <w:r w:rsidR="00B82222">
        <w:t xml:space="preserve"> values for the items exceeded 3.50 and all median values </w:t>
      </w:r>
      <w:r w:rsidR="007B16D3">
        <w:t>exceeded</w:t>
      </w:r>
      <w:r w:rsidR="00B82222">
        <w:t xml:space="preserve"> 4.00. These scores indicate positive appraisals of our completers’ abilities to </w:t>
      </w:r>
      <w:r w:rsidR="006838B0">
        <w:t xml:space="preserve">plan for, support, and assess </w:t>
      </w:r>
      <w:r w:rsidR="00EC2274">
        <w:t xml:space="preserve">learning among varied learners as well as use technology to improve student learning.  </w:t>
      </w:r>
    </w:p>
    <w:p w:rsidR="0045626A" w:rsidRDefault="00A209CC" w:rsidP="007449ED">
      <w:r>
        <w:t xml:space="preserve">Item 10 addressed employers’ perceptions of </w:t>
      </w:r>
      <w:r w:rsidR="00BA4CA2">
        <w:t xml:space="preserve">educators’ impact on student learning </w:t>
      </w:r>
      <w:r>
        <w:t>using an</w:t>
      </w:r>
      <w:r w:rsidR="00BA4CA2">
        <w:t xml:space="preserve"> </w:t>
      </w:r>
      <w:r>
        <w:t>open-ended response format (</w:t>
      </w:r>
      <w:r w:rsidR="0023178D">
        <w:t>CAEP 4.1, 4.3/</w:t>
      </w:r>
      <w:r w:rsidR="00120185">
        <w:t xml:space="preserve">A.4.1; </w:t>
      </w:r>
      <w:r>
        <w:t>i.e., “</w:t>
      </w:r>
      <w:r w:rsidRPr="00A209CC">
        <w:t>P</w:t>
      </w:r>
      <w:r>
        <w:t>lease comment on the educator</w:t>
      </w:r>
      <w:r w:rsidRPr="00A209CC">
        <w:t>'</w:t>
      </w:r>
      <w:r>
        <w:t>s</w:t>
      </w:r>
      <w:r w:rsidRPr="00A209CC">
        <w:t xml:space="preserve"> impact on student growth.</w:t>
      </w:r>
      <w:r>
        <w:t>”)</w:t>
      </w:r>
      <w:r w:rsidR="0023178D">
        <w:t xml:space="preserve">. </w:t>
      </w:r>
      <w:r w:rsidR="007449ED">
        <w:t xml:space="preserve">Responses to these items </w:t>
      </w:r>
      <w:r w:rsidR="005270CB">
        <w:t xml:space="preserve">again </w:t>
      </w:r>
      <w:r w:rsidR="00313CC9">
        <w:t xml:space="preserve">indicated </w:t>
      </w:r>
      <w:r w:rsidR="007449ED">
        <w:t xml:space="preserve">positive impact of our completers on student learning and growth. </w:t>
      </w:r>
      <w:r w:rsidR="0034372F">
        <w:t>For example, one supervisor/principal wrote: “</w:t>
      </w:r>
      <w:r w:rsidR="009B2F8B" w:rsidRPr="009B2F8B">
        <w:t>Educators have</w:t>
      </w:r>
      <w:r w:rsidR="009B2F8B">
        <w:t xml:space="preserve"> [been]</w:t>
      </w:r>
      <w:r w:rsidR="009B2F8B" w:rsidRPr="009B2F8B">
        <w:t xml:space="preserve"> engaging strategies that impact student growt</w:t>
      </w:r>
      <w:r w:rsidR="009B2F8B">
        <w:t>h</w:t>
      </w:r>
      <w:r w:rsidR="0034372F">
        <w:t>.</w:t>
      </w:r>
      <w:proofErr w:type="gramStart"/>
      <w:r w:rsidR="0034372F">
        <w:t>”.</w:t>
      </w:r>
      <w:proofErr w:type="gramEnd"/>
      <w:r w:rsidR="0034372F">
        <w:t xml:space="preserve">  </w:t>
      </w:r>
      <w:r w:rsidR="00485590">
        <w:t>Another r</w:t>
      </w:r>
      <w:r w:rsidR="009B2F8B">
        <w:t>epresentative r</w:t>
      </w:r>
      <w:r w:rsidR="00485590">
        <w:t>esponse was: “</w:t>
      </w:r>
      <w:r w:rsidR="009B2F8B" w:rsidRPr="009B2F8B">
        <w:t>This educator had a significant and direct impact on students</w:t>
      </w:r>
      <w:r w:rsidR="00936F81">
        <w:t>’</w:t>
      </w:r>
      <w:r w:rsidR="009B2F8B" w:rsidRPr="009B2F8B">
        <w:t xml:space="preserve"> ability to master the Algebra 1 assessment</w:t>
      </w:r>
      <w:r w:rsidR="00485590" w:rsidRPr="00485590">
        <w:rPr>
          <w:rFonts w:ascii="Calibri" w:eastAsia="Times New Roman" w:hAnsi="Calibri" w:cs="Times New Roman"/>
          <w:color w:val="000000"/>
        </w:rPr>
        <w:t>.</w:t>
      </w:r>
      <w:proofErr w:type="gramStart"/>
      <w:r w:rsidR="00485590">
        <w:t>”.</w:t>
      </w:r>
      <w:proofErr w:type="gramEnd"/>
      <w:r w:rsidR="00485590">
        <w:t xml:space="preserve"> </w:t>
      </w:r>
    </w:p>
    <w:p w:rsidR="00611504" w:rsidRDefault="002D26B9" w:rsidP="001A29A3">
      <w:pPr>
        <w:tabs>
          <w:tab w:val="left" w:pos="5409"/>
        </w:tabs>
        <w:rPr>
          <w:b/>
        </w:rPr>
      </w:pPr>
      <w:r>
        <w:rPr>
          <w:b/>
        </w:rPr>
        <w:t xml:space="preserve">Section III. </w:t>
      </w:r>
      <w:r w:rsidR="005622F7">
        <w:rPr>
          <w:b/>
        </w:rPr>
        <w:t xml:space="preserve">Employer Overall Satisfaction </w:t>
      </w:r>
    </w:p>
    <w:p w:rsidR="00BD2AE8" w:rsidRDefault="00162B35" w:rsidP="00ED4880">
      <w:r>
        <w:t>To assess supervisors’/principals’ overall satisfaction with the performance of our completers, a global item was administered. The item was</w:t>
      </w:r>
      <w:r w:rsidR="00D3209A">
        <w:t xml:space="preserve"> administered using a 5-point scale</w:t>
      </w:r>
      <w:r w:rsidR="00B06512">
        <w:t xml:space="preserve">: </w:t>
      </w:r>
      <w:r w:rsidR="00D3209A">
        <w:t>1</w:t>
      </w:r>
      <w:r>
        <w:t>-Very dissatisfied; 2-Dissatisfied; 3-Neither satisfied nor dissatisfied; 4-Satisfied; 5-Very satisfied</w:t>
      </w:r>
      <w:r w:rsidR="00D3209A">
        <w:t>.</w:t>
      </w:r>
      <w:r w:rsidR="00582795">
        <w:t xml:space="preserve"> </w:t>
      </w:r>
      <w:r w:rsidR="00CD33BA">
        <w:t>Because one item was administered for this area, i</w:t>
      </w:r>
      <w:r w:rsidR="001004CC">
        <w:t>nternal consistency reliability</w:t>
      </w:r>
      <w:r w:rsidR="00724F38">
        <w:t xml:space="preserve"> </w:t>
      </w:r>
      <w:r w:rsidR="00CD33BA">
        <w:t>was not able to be assessed</w:t>
      </w:r>
      <w:r w:rsidR="00724F38">
        <w:t xml:space="preserve">. </w:t>
      </w:r>
      <w:r w:rsidR="00526B12">
        <w:t>Table 2 presents basic descriptive information for the item</w:t>
      </w:r>
      <w:r w:rsidR="007870BE">
        <w:t xml:space="preserve"> by year of assessment</w:t>
      </w:r>
      <w:r w:rsidR="00526B12">
        <w:t>.</w:t>
      </w:r>
    </w:p>
    <w:p w:rsidR="009B4AF7" w:rsidRDefault="00272025" w:rsidP="00272025">
      <w:pPr>
        <w:spacing w:after="0"/>
      </w:pPr>
      <w:r>
        <w:t xml:space="preserve">Table 2. Employer Overall Satisfaction – Descriptive Information </w:t>
      </w:r>
    </w:p>
    <w:tbl>
      <w:tblPr>
        <w:tblStyle w:val="TableGrid"/>
        <w:tblW w:w="0" w:type="auto"/>
        <w:tblLook w:val="04A0" w:firstRow="1" w:lastRow="0" w:firstColumn="1" w:lastColumn="0" w:noHBand="0" w:noVBand="1"/>
      </w:tblPr>
      <w:tblGrid>
        <w:gridCol w:w="6175"/>
        <w:gridCol w:w="618"/>
        <w:gridCol w:w="626"/>
        <w:gridCol w:w="619"/>
        <w:gridCol w:w="571"/>
        <w:gridCol w:w="602"/>
        <w:gridCol w:w="571"/>
      </w:tblGrid>
      <w:tr w:rsidR="0077141A" w:rsidTr="00256F55">
        <w:tc>
          <w:tcPr>
            <w:tcW w:w="6175" w:type="dxa"/>
            <w:vMerge w:val="restart"/>
            <w:vAlign w:val="center"/>
          </w:tcPr>
          <w:p w:rsidR="0077141A" w:rsidRPr="00BF206E" w:rsidRDefault="00BF206E" w:rsidP="0077141A">
            <w:pPr>
              <w:rPr>
                <w:sz w:val="20"/>
                <w:szCs w:val="20"/>
              </w:rPr>
            </w:pPr>
            <w:r w:rsidRPr="00BF206E">
              <w:rPr>
                <w:sz w:val="20"/>
                <w:szCs w:val="20"/>
              </w:rPr>
              <w:t>Overall Rating</w:t>
            </w:r>
          </w:p>
        </w:tc>
        <w:tc>
          <w:tcPr>
            <w:tcW w:w="1863" w:type="dxa"/>
            <w:gridSpan w:val="3"/>
            <w:tcBorders>
              <w:top w:val="single" w:sz="4" w:space="0" w:color="auto"/>
              <w:bottom w:val="single" w:sz="4" w:space="0" w:color="auto"/>
              <w:right w:val="single" w:sz="4" w:space="0" w:color="auto"/>
            </w:tcBorders>
            <w:vAlign w:val="center"/>
          </w:tcPr>
          <w:p w:rsidR="0077141A" w:rsidRPr="0077141A" w:rsidRDefault="0077141A" w:rsidP="0077141A">
            <w:pPr>
              <w:jc w:val="center"/>
              <w:rPr>
                <w:sz w:val="20"/>
                <w:szCs w:val="20"/>
              </w:rPr>
            </w:pPr>
            <w:r w:rsidRPr="0077141A">
              <w:rPr>
                <w:sz w:val="20"/>
                <w:szCs w:val="20"/>
              </w:rPr>
              <w:t>2018</w:t>
            </w:r>
          </w:p>
        </w:tc>
        <w:tc>
          <w:tcPr>
            <w:tcW w:w="1744" w:type="dxa"/>
            <w:gridSpan w:val="3"/>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sz w:val="20"/>
                <w:szCs w:val="20"/>
              </w:rPr>
            </w:pPr>
            <w:r w:rsidRPr="0077141A">
              <w:rPr>
                <w:sz w:val="20"/>
                <w:szCs w:val="20"/>
              </w:rPr>
              <w:t>2019</w:t>
            </w:r>
          </w:p>
        </w:tc>
      </w:tr>
      <w:tr w:rsidR="0077141A" w:rsidTr="0077141A">
        <w:tc>
          <w:tcPr>
            <w:tcW w:w="6175" w:type="dxa"/>
            <w:vMerge/>
            <w:vAlign w:val="center"/>
          </w:tcPr>
          <w:p w:rsidR="0077141A" w:rsidRPr="0077141A" w:rsidRDefault="0077141A" w:rsidP="0077141A">
            <w:pPr>
              <w:rPr>
                <w:sz w:val="20"/>
                <w:szCs w:val="20"/>
              </w:rPr>
            </w:pPr>
          </w:p>
        </w:tc>
        <w:tc>
          <w:tcPr>
            <w:tcW w:w="618" w:type="dxa"/>
            <w:tcBorders>
              <w:top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w:t>
            </w:r>
          </w:p>
        </w:tc>
        <w:tc>
          <w:tcPr>
            <w:tcW w:w="626"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Mdn</w:t>
            </w:r>
          </w:p>
        </w:tc>
        <w:tc>
          <w:tcPr>
            <w:tcW w:w="619"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SD</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w:t>
            </w:r>
          </w:p>
        </w:tc>
        <w:tc>
          <w:tcPr>
            <w:tcW w:w="602"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Mdn</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SD</w:t>
            </w:r>
          </w:p>
        </w:tc>
      </w:tr>
      <w:tr w:rsidR="0077141A" w:rsidTr="0077141A">
        <w:tc>
          <w:tcPr>
            <w:tcW w:w="6175" w:type="dxa"/>
            <w:vAlign w:val="center"/>
          </w:tcPr>
          <w:p w:rsidR="0077141A" w:rsidRDefault="0077141A" w:rsidP="004246A9">
            <w:pPr>
              <w:rPr>
                <w:sz w:val="20"/>
                <w:szCs w:val="20"/>
              </w:rPr>
            </w:pPr>
            <w:r w:rsidRPr="009B4ED0">
              <w:rPr>
                <w:sz w:val="20"/>
                <w:szCs w:val="20"/>
              </w:rPr>
              <w:t>Employer Satisfaction</w:t>
            </w:r>
          </w:p>
          <w:p w:rsidR="0077141A" w:rsidRPr="00C97A11" w:rsidRDefault="0077141A" w:rsidP="00280A06">
            <w:pPr>
              <w:rPr>
                <w:sz w:val="20"/>
                <w:szCs w:val="20"/>
              </w:rPr>
            </w:pPr>
            <w:r>
              <w:rPr>
                <w:sz w:val="20"/>
                <w:szCs w:val="20"/>
              </w:rPr>
              <w:t>(CAEP 4.3/4.1)</w:t>
            </w:r>
          </w:p>
        </w:tc>
        <w:tc>
          <w:tcPr>
            <w:tcW w:w="618" w:type="dxa"/>
            <w:tcBorders>
              <w:top w:val="single" w:sz="4" w:space="0" w:color="auto"/>
              <w:bottom w:val="single" w:sz="4" w:space="0" w:color="auto"/>
              <w:right w:val="single" w:sz="4" w:space="0" w:color="auto"/>
            </w:tcBorders>
            <w:vAlign w:val="center"/>
          </w:tcPr>
          <w:p w:rsidR="0077141A" w:rsidRPr="00886FF1" w:rsidRDefault="0077141A" w:rsidP="004246A9">
            <w:pPr>
              <w:jc w:val="center"/>
              <w:rPr>
                <w:sz w:val="20"/>
                <w:szCs w:val="20"/>
              </w:rPr>
            </w:pPr>
            <w:r>
              <w:rPr>
                <w:sz w:val="20"/>
                <w:szCs w:val="20"/>
              </w:rPr>
              <w:t>4.63</w:t>
            </w:r>
          </w:p>
        </w:tc>
        <w:tc>
          <w:tcPr>
            <w:tcW w:w="626" w:type="dxa"/>
            <w:tcBorders>
              <w:top w:val="single" w:sz="4" w:space="0" w:color="auto"/>
              <w:left w:val="single" w:sz="4" w:space="0" w:color="auto"/>
              <w:bottom w:val="single" w:sz="4" w:space="0" w:color="auto"/>
              <w:right w:val="single" w:sz="4" w:space="0" w:color="auto"/>
            </w:tcBorders>
            <w:vAlign w:val="center"/>
          </w:tcPr>
          <w:p w:rsidR="0077141A" w:rsidRPr="00886FF1" w:rsidRDefault="0077141A" w:rsidP="004246A9">
            <w:pPr>
              <w:jc w:val="center"/>
              <w:rPr>
                <w:sz w:val="20"/>
                <w:szCs w:val="20"/>
              </w:rPr>
            </w:pPr>
            <w:r>
              <w:rPr>
                <w:sz w:val="20"/>
                <w:szCs w:val="20"/>
              </w:rPr>
              <w:t>5.00</w:t>
            </w:r>
          </w:p>
        </w:tc>
        <w:tc>
          <w:tcPr>
            <w:tcW w:w="619"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0.49</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4.75</w:t>
            </w:r>
          </w:p>
        </w:tc>
        <w:tc>
          <w:tcPr>
            <w:tcW w:w="602"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5.00</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0.46</w:t>
            </w:r>
          </w:p>
        </w:tc>
      </w:tr>
    </w:tbl>
    <w:p w:rsidR="00B90627" w:rsidRDefault="00B90627" w:rsidP="00B90627">
      <w:pPr>
        <w:spacing w:after="0"/>
      </w:pPr>
    </w:p>
    <w:p w:rsidR="00F42831" w:rsidRDefault="00F42831" w:rsidP="00B90627">
      <w:pPr>
        <w:spacing w:after="0"/>
      </w:pPr>
      <w:r>
        <w:t xml:space="preserve">Based on </w:t>
      </w:r>
      <w:r w:rsidR="00F4650E">
        <w:t xml:space="preserve">the findings, </w:t>
      </w:r>
      <w:r w:rsidR="00966CC4">
        <w:t>supervisors/principals indicated overall satisfaction with the performance of SU completers</w:t>
      </w:r>
      <w:r w:rsidR="007922D1">
        <w:t>,</w:t>
      </w:r>
      <w:r w:rsidR="00B24E00">
        <w:t xml:space="preserve"> and these ratings were consistent across the two </w:t>
      </w:r>
      <w:r w:rsidR="0044278F">
        <w:t xml:space="preserve">school </w:t>
      </w:r>
      <w:r w:rsidR="00B24E00">
        <w:t>sites and time-frames</w:t>
      </w:r>
      <w:r w:rsidR="00966CC4">
        <w:t xml:space="preserve">. </w:t>
      </w:r>
    </w:p>
    <w:p w:rsidR="002D1B55" w:rsidRDefault="002D1B55" w:rsidP="00B90627">
      <w:pPr>
        <w:spacing w:after="0"/>
      </w:pPr>
    </w:p>
    <w:p w:rsidR="005B4EAB" w:rsidRDefault="001D685B" w:rsidP="00ED4880">
      <w:pPr>
        <w:rPr>
          <w:b/>
        </w:rPr>
      </w:pPr>
      <w:r>
        <w:rPr>
          <w:b/>
        </w:rPr>
        <w:t xml:space="preserve">Section IV. </w:t>
      </w:r>
      <w:r w:rsidR="005622F7">
        <w:rPr>
          <w:b/>
        </w:rPr>
        <w:t xml:space="preserve">Employer Overall Rating(s) of Quality </w:t>
      </w:r>
    </w:p>
    <w:p w:rsidR="00272025" w:rsidRPr="002B423B" w:rsidRDefault="002B423B" w:rsidP="00ED4880">
      <w:r w:rsidRPr="002B423B">
        <w:t xml:space="preserve">Finally, </w:t>
      </w:r>
      <w:r w:rsidR="009B2820">
        <w:t xml:space="preserve">to assess supervisors’/principals’ perceptions of the overall quality of our completers, a global item was administered. The item was administered using a 5-point scale: 1-Poor; 2-Fair; 3-Good; 4-Very good; 5-Excellent. </w:t>
      </w:r>
      <w:r w:rsidR="00526B12">
        <w:t>Because one item was administered for this area, internal consistency reliability was not able to be assessed. Table 3 presents basic descriptive information for the item</w:t>
      </w:r>
      <w:r w:rsidR="00AA71D6">
        <w:t xml:space="preserve"> for both </w:t>
      </w:r>
      <w:r w:rsidR="00BD5F2D">
        <w:t xml:space="preserve">school </w:t>
      </w:r>
      <w:r w:rsidR="00AA71D6">
        <w:t>sites and time-frames</w:t>
      </w:r>
      <w:r w:rsidR="00526B12">
        <w:t xml:space="preserve">. </w:t>
      </w:r>
    </w:p>
    <w:p w:rsidR="00272025" w:rsidRPr="00272025" w:rsidRDefault="00272025" w:rsidP="00272025">
      <w:pPr>
        <w:spacing w:after="0"/>
      </w:pPr>
      <w:r w:rsidRPr="00272025">
        <w:t xml:space="preserve">Table 3. </w:t>
      </w:r>
      <w:r>
        <w:t>Employer Overall Rating – Descriptive Information</w:t>
      </w:r>
      <w:r w:rsidR="005020CA">
        <w:t xml:space="preserve"> </w:t>
      </w:r>
    </w:p>
    <w:tbl>
      <w:tblPr>
        <w:tblStyle w:val="TableGrid"/>
        <w:tblW w:w="0" w:type="auto"/>
        <w:tblLook w:val="04A0" w:firstRow="1" w:lastRow="0" w:firstColumn="1" w:lastColumn="0" w:noHBand="0" w:noVBand="1"/>
      </w:tblPr>
      <w:tblGrid>
        <w:gridCol w:w="6077"/>
        <w:gridCol w:w="617"/>
        <w:gridCol w:w="625"/>
        <w:gridCol w:w="618"/>
        <w:gridCol w:w="571"/>
        <w:gridCol w:w="602"/>
        <w:gridCol w:w="672"/>
      </w:tblGrid>
      <w:tr w:rsidR="0077141A" w:rsidTr="00E17151">
        <w:tc>
          <w:tcPr>
            <w:tcW w:w="6077" w:type="dxa"/>
            <w:vMerge w:val="restart"/>
            <w:vAlign w:val="center"/>
          </w:tcPr>
          <w:p w:rsidR="0077141A" w:rsidRPr="00BF206E" w:rsidRDefault="00BF206E" w:rsidP="0077141A">
            <w:pPr>
              <w:rPr>
                <w:sz w:val="20"/>
                <w:szCs w:val="20"/>
              </w:rPr>
            </w:pPr>
            <w:r w:rsidRPr="00BF206E">
              <w:rPr>
                <w:sz w:val="20"/>
                <w:szCs w:val="20"/>
              </w:rPr>
              <w:t xml:space="preserve">Overall Rating </w:t>
            </w:r>
          </w:p>
        </w:tc>
        <w:tc>
          <w:tcPr>
            <w:tcW w:w="1860" w:type="dxa"/>
            <w:gridSpan w:val="3"/>
            <w:tcBorders>
              <w:top w:val="single" w:sz="4" w:space="0" w:color="auto"/>
              <w:bottom w:val="single" w:sz="4" w:space="0" w:color="auto"/>
              <w:right w:val="single" w:sz="4" w:space="0" w:color="auto"/>
            </w:tcBorders>
            <w:vAlign w:val="center"/>
          </w:tcPr>
          <w:p w:rsidR="0077141A" w:rsidRPr="0077141A" w:rsidRDefault="0077141A" w:rsidP="0077141A">
            <w:pPr>
              <w:jc w:val="center"/>
              <w:rPr>
                <w:sz w:val="20"/>
                <w:szCs w:val="20"/>
              </w:rPr>
            </w:pPr>
            <w:r w:rsidRPr="0077141A">
              <w:rPr>
                <w:sz w:val="20"/>
                <w:szCs w:val="20"/>
              </w:rPr>
              <w:t>2018</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sz w:val="20"/>
                <w:szCs w:val="20"/>
              </w:rPr>
            </w:pPr>
            <w:r w:rsidRPr="0077141A">
              <w:rPr>
                <w:sz w:val="20"/>
                <w:szCs w:val="20"/>
              </w:rPr>
              <w:t>2019</w:t>
            </w:r>
          </w:p>
        </w:tc>
      </w:tr>
      <w:tr w:rsidR="0077141A" w:rsidTr="0077141A">
        <w:tc>
          <w:tcPr>
            <w:tcW w:w="6077" w:type="dxa"/>
            <w:vMerge/>
            <w:vAlign w:val="center"/>
          </w:tcPr>
          <w:p w:rsidR="0077141A" w:rsidRPr="00EC324B" w:rsidRDefault="0077141A" w:rsidP="0077141A">
            <w:pPr>
              <w:rPr>
                <w:b/>
                <w:sz w:val="20"/>
                <w:szCs w:val="20"/>
              </w:rPr>
            </w:pPr>
          </w:p>
        </w:tc>
        <w:tc>
          <w:tcPr>
            <w:tcW w:w="617" w:type="dxa"/>
            <w:tcBorders>
              <w:top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w:t>
            </w:r>
          </w:p>
        </w:tc>
        <w:tc>
          <w:tcPr>
            <w:tcW w:w="625"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Mdn</w:t>
            </w:r>
          </w:p>
        </w:tc>
        <w:tc>
          <w:tcPr>
            <w:tcW w:w="618"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SD</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w:t>
            </w:r>
          </w:p>
        </w:tc>
        <w:tc>
          <w:tcPr>
            <w:tcW w:w="602"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Mdn</w:t>
            </w:r>
          </w:p>
        </w:tc>
        <w:tc>
          <w:tcPr>
            <w:tcW w:w="672" w:type="dxa"/>
            <w:tcBorders>
              <w:top w:val="single" w:sz="4" w:space="0" w:color="auto"/>
              <w:left w:val="single" w:sz="4" w:space="0" w:color="auto"/>
              <w:bottom w:val="single" w:sz="4" w:space="0" w:color="auto"/>
              <w:right w:val="single" w:sz="4" w:space="0" w:color="auto"/>
            </w:tcBorders>
            <w:vAlign w:val="center"/>
          </w:tcPr>
          <w:p w:rsidR="0077141A" w:rsidRPr="0077141A" w:rsidRDefault="0077141A" w:rsidP="0077141A">
            <w:pPr>
              <w:jc w:val="center"/>
              <w:rPr>
                <w:i/>
                <w:sz w:val="20"/>
                <w:szCs w:val="20"/>
              </w:rPr>
            </w:pPr>
            <w:r w:rsidRPr="0077141A">
              <w:rPr>
                <w:i/>
                <w:sz w:val="20"/>
                <w:szCs w:val="20"/>
              </w:rPr>
              <w:t>SD</w:t>
            </w:r>
          </w:p>
        </w:tc>
      </w:tr>
      <w:tr w:rsidR="0077141A" w:rsidTr="0077141A">
        <w:tc>
          <w:tcPr>
            <w:tcW w:w="6077" w:type="dxa"/>
            <w:vAlign w:val="center"/>
          </w:tcPr>
          <w:p w:rsidR="0077141A" w:rsidRDefault="0077141A" w:rsidP="004246A9">
            <w:pPr>
              <w:rPr>
                <w:sz w:val="20"/>
                <w:szCs w:val="20"/>
              </w:rPr>
            </w:pPr>
            <w:r w:rsidRPr="009B4ED0">
              <w:rPr>
                <w:sz w:val="20"/>
                <w:szCs w:val="20"/>
              </w:rPr>
              <w:t xml:space="preserve">Employer Rating(s) of Preparation Quality </w:t>
            </w:r>
          </w:p>
          <w:p w:rsidR="0077141A" w:rsidRPr="00C97A11" w:rsidRDefault="0077141A" w:rsidP="004246A9">
            <w:pPr>
              <w:rPr>
                <w:sz w:val="20"/>
                <w:szCs w:val="20"/>
              </w:rPr>
            </w:pPr>
            <w:r>
              <w:rPr>
                <w:sz w:val="20"/>
                <w:szCs w:val="20"/>
              </w:rPr>
              <w:t>(CAEP 4.3/4.1)</w:t>
            </w:r>
          </w:p>
        </w:tc>
        <w:tc>
          <w:tcPr>
            <w:tcW w:w="617" w:type="dxa"/>
            <w:tcBorders>
              <w:top w:val="single" w:sz="4" w:space="0" w:color="auto"/>
              <w:bottom w:val="single" w:sz="4" w:space="0" w:color="auto"/>
              <w:right w:val="single" w:sz="4" w:space="0" w:color="auto"/>
            </w:tcBorders>
            <w:vAlign w:val="center"/>
          </w:tcPr>
          <w:p w:rsidR="0077141A" w:rsidRPr="00886FF1" w:rsidRDefault="0077141A" w:rsidP="004246A9">
            <w:pPr>
              <w:jc w:val="center"/>
              <w:rPr>
                <w:sz w:val="20"/>
                <w:szCs w:val="20"/>
              </w:rPr>
            </w:pPr>
            <w:r>
              <w:rPr>
                <w:sz w:val="20"/>
                <w:szCs w:val="20"/>
              </w:rPr>
              <w:t>4.25</w:t>
            </w:r>
          </w:p>
        </w:tc>
        <w:tc>
          <w:tcPr>
            <w:tcW w:w="625" w:type="dxa"/>
            <w:tcBorders>
              <w:top w:val="single" w:sz="4" w:space="0" w:color="auto"/>
              <w:left w:val="single" w:sz="4" w:space="0" w:color="auto"/>
              <w:bottom w:val="single" w:sz="4" w:space="0" w:color="auto"/>
              <w:right w:val="single" w:sz="4" w:space="0" w:color="auto"/>
            </w:tcBorders>
            <w:vAlign w:val="center"/>
          </w:tcPr>
          <w:p w:rsidR="0077141A" w:rsidRPr="00886FF1" w:rsidRDefault="0077141A" w:rsidP="004246A9">
            <w:pPr>
              <w:jc w:val="center"/>
              <w:rPr>
                <w:sz w:val="20"/>
                <w:szCs w:val="20"/>
              </w:rPr>
            </w:pPr>
            <w:r>
              <w:rPr>
                <w:sz w:val="20"/>
                <w:szCs w:val="20"/>
              </w:rPr>
              <w:t>5.00</w:t>
            </w:r>
          </w:p>
        </w:tc>
        <w:tc>
          <w:tcPr>
            <w:tcW w:w="618"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0.79</w:t>
            </w:r>
          </w:p>
        </w:tc>
        <w:tc>
          <w:tcPr>
            <w:tcW w:w="571"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4.63</w:t>
            </w:r>
          </w:p>
        </w:tc>
        <w:tc>
          <w:tcPr>
            <w:tcW w:w="602"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5.00</w:t>
            </w:r>
          </w:p>
        </w:tc>
        <w:tc>
          <w:tcPr>
            <w:tcW w:w="672" w:type="dxa"/>
            <w:tcBorders>
              <w:top w:val="single" w:sz="4" w:space="0" w:color="auto"/>
              <w:left w:val="single" w:sz="4" w:space="0" w:color="auto"/>
              <w:bottom w:val="single" w:sz="4" w:space="0" w:color="auto"/>
              <w:right w:val="single" w:sz="4" w:space="0" w:color="auto"/>
            </w:tcBorders>
            <w:vAlign w:val="center"/>
          </w:tcPr>
          <w:p w:rsidR="0077141A" w:rsidRDefault="0077141A" w:rsidP="004246A9">
            <w:pPr>
              <w:jc w:val="center"/>
              <w:rPr>
                <w:sz w:val="20"/>
                <w:szCs w:val="20"/>
              </w:rPr>
            </w:pPr>
            <w:r>
              <w:rPr>
                <w:sz w:val="20"/>
                <w:szCs w:val="20"/>
              </w:rPr>
              <w:t>0.744</w:t>
            </w:r>
          </w:p>
        </w:tc>
      </w:tr>
    </w:tbl>
    <w:p w:rsidR="00201973" w:rsidRDefault="00201973" w:rsidP="00502FD8">
      <w:pPr>
        <w:spacing w:after="0"/>
        <w:rPr>
          <w:b/>
        </w:rPr>
      </w:pPr>
    </w:p>
    <w:p w:rsidR="00201973" w:rsidRPr="00CA4F2B" w:rsidRDefault="00F42831" w:rsidP="00ED4880">
      <w:r w:rsidRPr="00F42831">
        <w:t xml:space="preserve">Based on </w:t>
      </w:r>
      <w:r w:rsidR="00966CC4">
        <w:t xml:space="preserve">the findings, </w:t>
      </w:r>
      <w:r w:rsidR="00B6045A">
        <w:t xml:space="preserve">supervisors/principals indicated </w:t>
      </w:r>
      <w:r w:rsidR="00796D75">
        <w:t xml:space="preserve">consistent, </w:t>
      </w:r>
      <w:r w:rsidR="00B6045A">
        <w:t xml:space="preserve">strong ratings of the quality of SU completers.  </w:t>
      </w:r>
      <w:r w:rsidR="00B37413">
        <w:t xml:space="preserve">Further, scores </w:t>
      </w:r>
      <w:r w:rsidR="00CA4F2B">
        <w:t xml:space="preserve">on the overall satisfaction item were </w:t>
      </w:r>
      <w:r w:rsidR="002C4E63">
        <w:t xml:space="preserve">positively and </w:t>
      </w:r>
      <w:r w:rsidR="00CA4F2B">
        <w:t xml:space="preserve">significantly correlated with scores on the overall rating of completer quality, </w:t>
      </w:r>
      <w:r w:rsidR="00CA4F2B">
        <w:rPr>
          <w:i/>
        </w:rPr>
        <w:t>r</w:t>
      </w:r>
      <w:r w:rsidR="00CA4F2B">
        <w:rPr>
          <w:vertAlign w:val="subscript"/>
        </w:rPr>
        <w:t>s</w:t>
      </w:r>
      <w:r w:rsidR="00CA4F2B">
        <w:t xml:space="preserve">=0.79, </w:t>
      </w:r>
      <w:r w:rsidR="00CA4F2B">
        <w:rPr>
          <w:i/>
        </w:rPr>
        <w:t xml:space="preserve">p </w:t>
      </w:r>
      <w:r w:rsidR="00E253D5">
        <w:t>&lt; .05, providing evidence of convergence across employers’ ratings of our completers’ performan</w:t>
      </w:r>
      <w:r w:rsidR="00F0165D">
        <w:t>ce (</w:t>
      </w:r>
      <w:r w:rsidR="00C45B19">
        <w:t>AERA, APA, NCME, 2014</w:t>
      </w:r>
      <w:r w:rsidR="00F0165D">
        <w:t>).</w:t>
      </w:r>
      <w:r w:rsidR="00C14FB6">
        <w:rPr>
          <w:vertAlign w:val="superscript"/>
        </w:rPr>
        <w:t>2</w:t>
      </w:r>
      <w:r w:rsidR="00C45B19">
        <w:t xml:space="preserve"> </w:t>
      </w:r>
      <w:r w:rsidR="00F0165D">
        <w:t xml:space="preserve"> </w:t>
      </w:r>
    </w:p>
    <w:p w:rsidR="00F70E9F" w:rsidRDefault="00F70E9F" w:rsidP="00ED4880">
      <w:pPr>
        <w:rPr>
          <w:b/>
        </w:rPr>
      </w:pPr>
    </w:p>
    <w:p w:rsidR="00F70E9F" w:rsidRDefault="00F70E9F" w:rsidP="00ED4880">
      <w:pPr>
        <w:rPr>
          <w:b/>
        </w:rPr>
      </w:pPr>
    </w:p>
    <w:p w:rsidR="002A65E3" w:rsidRDefault="00532879" w:rsidP="00ED4880">
      <w:pPr>
        <w:rPr>
          <w:b/>
        </w:rPr>
      </w:pPr>
      <w:r>
        <w:rPr>
          <w:b/>
        </w:rPr>
        <w:lastRenderedPageBreak/>
        <w:t xml:space="preserve">Conclusions and Next Steps Based on the </w:t>
      </w:r>
      <w:r w:rsidR="00664D90">
        <w:rPr>
          <w:b/>
        </w:rPr>
        <w:t xml:space="preserve">Employer </w:t>
      </w:r>
      <w:r>
        <w:rPr>
          <w:b/>
        </w:rPr>
        <w:t xml:space="preserve">Survey Results </w:t>
      </w:r>
    </w:p>
    <w:p w:rsidR="00532879" w:rsidRDefault="00532879" w:rsidP="00ED4880">
      <w:r>
        <w:t xml:space="preserve">The results of the </w:t>
      </w:r>
      <w:r w:rsidR="001D4013">
        <w:t xml:space="preserve">Unit Employer Survey </w:t>
      </w:r>
      <w:r w:rsidR="00F70E9F">
        <w:t xml:space="preserve">continue to </w:t>
      </w:r>
      <w:r>
        <w:t xml:space="preserve">support a number </w:t>
      </w:r>
      <w:r w:rsidR="00A34E59">
        <w:t xml:space="preserve">of </w:t>
      </w:r>
      <w:r>
        <w:t>important conclusions and next steps</w:t>
      </w:r>
      <w:r w:rsidR="00525423">
        <w:t xml:space="preserve"> for the Seidel School of Education</w:t>
      </w:r>
      <w:r w:rsidR="00A34E59">
        <w:t xml:space="preserve"> to </w:t>
      </w:r>
      <w:r w:rsidR="006C56DA">
        <w:t>leverage</w:t>
      </w:r>
      <w:r w:rsidR="00033D89">
        <w:t xml:space="preserve"> to </w:t>
      </w:r>
      <w:r w:rsidR="00A34E59">
        <w:t xml:space="preserve">provide </w:t>
      </w:r>
      <w:r w:rsidR="00BC5A87">
        <w:t xml:space="preserve">meaningful preparation experiences for </w:t>
      </w:r>
      <w:r w:rsidR="00651EA2">
        <w:t>its</w:t>
      </w:r>
      <w:r w:rsidR="00BC5A87">
        <w:t xml:space="preserve"> candidates</w:t>
      </w:r>
      <w:r w:rsidR="006C55C8">
        <w:t xml:space="preserve">: </w:t>
      </w:r>
    </w:p>
    <w:p w:rsidR="006C55C8" w:rsidRDefault="006C55C8" w:rsidP="001D4013">
      <w:r>
        <w:t xml:space="preserve">1. </w:t>
      </w:r>
      <w:r w:rsidR="00D548D8">
        <w:t xml:space="preserve">Employers indicated </w:t>
      </w:r>
      <w:r w:rsidR="009713B5">
        <w:t xml:space="preserve">positive </w:t>
      </w:r>
      <w:r w:rsidR="00D57D35">
        <w:t>appraisals</w:t>
      </w:r>
      <w:r w:rsidR="009713B5">
        <w:t xml:space="preserve"> of our completer</w:t>
      </w:r>
      <w:r w:rsidR="00D04729">
        <w:t>s’</w:t>
      </w:r>
      <w:r w:rsidR="009713B5">
        <w:t xml:space="preserve"> abilities to support </w:t>
      </w:r>
      <w:r w:rsidR="00D57D35">
        <w:t xml:space="preserve">and assess </w:t>
      </w:r>
      <w:r w:rsidR="009713B5">
        <w:t xml:space="preserve">student learning. </w:t>
      </w:r>
      <w:r w:rsidR="0086211A">
        <w:t xml:space="preserve">These positive appraisals exist across school sites and time-frames of assessment. </w:t>
      </w:r>
    </w:p>
    <w:p w:rsidR="00B0399A" w:rsidRDefault="00B0399A" w:rsidP="001D4013">
      <w:r>
        <w:t xml:space="preserve">2. </w:t>
      </w:r>
      <w:r w:rsidR="00D548D8">
        <w:t xml:space="preserve">Employers indicated </w:t>
      </w:r>
      <w:r w:rsidR="007667FD">
        <w:t>overall satisfaction with and</w:t>
      </w:r>
      <w:r w:rsidR="00D548D8">
        <w:t xml:space="preserve"> </w:t>
      </w:r>
      <w:r w:rsidR="00D96A96">
        <w:t xml:space="preserve">strong ratings of the </w:t>
      </w:r>
      <w:r w:rsidR="00D548D8">
        <w:t xml:space="preserve">quality of the preparation of our completers. </w:t>
      </w:r>
      <w:r w:rsidR="00413F01">
        <w:t xml:space="preserve">These satisfaction ratings again persist across school sites. </w:t>
      </w:r>
    </w:p>
    <w:p w:rsidR="00B0399A" w:rsidRDefault="005D31F0" w:rsidP="001D4013">
      <w:r>
        <w:t>3. As with the alumni survey, t</w:t>
      </w:r>
      <w:r w:rsidR="00B0399A">
        <w:t>he unit needs to</w:t>
      </w:r>
      <w:r>
        <w:t xml:space="preserve"> continue to</w:t>
      </w:r>
      <w:r w:rsidR="00B0399A">
        <w:t xml:space="preserve"> take steps to increase both the sample size and representativeness of the employers that are successfully surveyed. In future assessments, we will continue to employ target</w:t>
      </w:r>
      <w:r w:rsidR="00A059B7">
        <w:t>ed strategies to ensure strong</w:t>
      </w:r>
      <w:r w:rsidR="00B0399A">
        <w:t xml:space="preserve"> response and completion rates and will survey employers from other, surrounding districts. </w:t>
      </w:r>
    </w:p>
    <w:p w:rsidR="00984F93" w:rsidRPr="000E065C" w:rsidRDefault="00984F93" w:rsidP="000E065C">
      <w:pPr>
        <w:jc w:val="center"/>
        <w:rPr>
          <w:b/>
        </w:rPr>
      </w:pPr>
      <w:r>
        <w:rPr>
          <w:b/>
        </w:rPr>
        <w:t>References</w:t>
      </w:r>
    </w:p>
    <w:p w:rsidR="00984F93" w:rsidRDefault="001D4013" w:rsidP="001D4013">
      <w:pPr>
        <w:spacing w:after="0" w:line="240" w:lineRule="auto"/>
      </w:pPr>
      <w:r w:rsidRPr="001D4013">
        <w:t>American Educational Research Association, American Psychological Association, National</w:t>
      </w:r>
      <w:r>
        <w:t xml:space="preserve"> </w:t>
      </w:r>
      <w:r w:rsidRPr="001D4013">
        <w:t>Council on Measurement in Education, Joint Committee on Standards for Educational and</w:t>
      </w:r>
      <w:r>
        <w:t xml:space="preserve"> </w:t>
      </w:r>
      <w:r w:rsidRPr="001D4013">
        <w:t xml:space="preserve">Psychological Testing (U.S.). (2014). </w:t>
      </w:r>
      <w:r w:rsidRPr="001D4013">
        <w:rPr>
          <w:i/>
        </w:rPr>
        <w:t>Standards for educational and psychological testing</w:t>
      </w:r>
      <w:r w:rsidRPr="001D4013">
        <w:t>.</w:t>
      </w:r>
      <w:r>
        <w:t xml:space="preserve"> </w:t>
      </w:r>
      <w:r w:rsidRPr="001D4013">
        <w:t>Washington, DC: AERA.</w:t>
      </w:r>
    </w:p>
    <w:p w:rsidR="001D4013" w:rsidRPr="001D4013" w:rsidRDefault="001D4013" w:rsidP="001D4013">
      <w:pPr>
        <w:spacing w:after="0" w:line="240" w:lineRule="auto"/>
      </w:pPr>
    </w:p>
    <w:p w:rsidR="006B25C0" w:rsidRDefault="006B25C0" w:rsidP="006B25C0">
      <w:pPr>
        <w:jc w:val="center"/>
        <w:rPr>
          <w:b/>
        </w:rPr>
      </w:pPr>
      <w:r>
        <w:rPr>
          <w:b/>
        </w:rPr>
        <w:t>Notes</w:t>
      </w:r>
    </w:p>
    <w:p w:rsidR="00B0521C" w:rsidRDefault="000D50EC" w:rsidP="00D408DB">
      <w:pPr>
        <w:rPr>
          <w:sz w:val="21"/>
          <w:szCs w:val="21"/>
        </w:rPr>
      </w:pPr>
      <w:r w:rsidRPr="00452146">
        <w:rPr>
          <w:sz w:val="21"/>
          <w:szCs w:val="21"/>
          <w:vertAlign w:val="superscript"/>
        </w:rPr>
        <w:t>1</w:t>
      </w:r>
      <w:r w:rsidRPr="00452146">
        <w:rPr>
          <w:sz w:val="21"/>
          <w:szCs w:val="21"/>
        </w:rPr>
        <w:t xml:space="preserve">Internal consistency reliability was evaluated through calculation of Cronbach’s alpha as a lower-bound estimate of reliability. Cronbach’s alpha effectively evaluates the mean of all possible split-half correlations among items in an instrument. Standardized item alpha values were also computed and compared with Cronbach’s alpha values. </w:t>
      </w:r>
    </w:p>
    <w:p w:rsidR="00EB26B7" w:rsidRPr="00F70E9F" w:rsidRDefault="00F70E9F" w:rsidP="00D61BB0">
      <w:pPr>
        <w:rPr>
          <w:sz w:val="21"/>
          <w:szCs w:val="21"/>
        </w:rPr>
      </w:pPr>
      <w:r>
        <w:rPr>
          <w:sz w:val="21"/>
          <w:szCs w:val="21"/>
          <w:vertAlign w:val="superscript"/>
        </w:rPr>
        <w:t>2</w:t>
      </w:r>
      <w:r>
        <w:rPr>
          <w:sz w:val="21"/>
          <w:szCs w:val="21"/>
        </w:rPr>
        <w:t xml:space="preserve">Based on the nature of the data analyzed, the Spearman rank-order correlation coefficient was computed and is reported.  </w:t>
      </w:r>
    </w:p>
    <w:p w:rsidR="00EB26B7" w:rsidRPr="00452146" w:rsidRDefault="00EB26B7" w:rsidP="00D61BB0">
      <w:pPr>
        <w:rPr>
          <w:sz w:val="21"/>
          <w:szCs w:val="21"/>
        </w:rPr>
      </w:pPr>
      <w:bookmarkStart w:id="0" w:name="_GoBack"/>
      <w:bookmarkEnd w:id="0"/>
    </w:p>
    <w:sectPr w:rsidR="00EB26B7" w:rsidRPr="00452146" w:rsidSect="006A55FF">
      <w:headerReference w:type="default" r:id="rId8"/>
      <w:pgSz w:w="12240" w:h="15840"/>
      <w:pgMar w:top="1008" w:right="1296"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BA" w:rsidRDefault="007174BA" w:rsidP="005A0E27">
      <w:pPr>
        <w:spacing w:after="0" w:line="240" w:lineRule="auto"/>
      </w:pPr>
      <w:r>
        <w:separator/>
      </w:r>
    </w:p>
  </w:endnote>
  <w:endnote w:type="continuationSeparator" w:id="0">
    <w:p w:rsidR="007174BA" w:rsidRDefault="007174BA" w:rsidP="005A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BA" w:rsidRDefault="007174BA" w:rsidP="005A0E27">
      <w:pPr>
        <w:spacing w:after="0" w:line="240" w:lineRule="auto"/>
      </w:pPr>
      <w:r>
        <w:separator/>
      </w:r>
    </w:p>
  </w:footnote>
  <w:footnote w:type="continuationSeparator" w:id="0">
    <w:p w:rsidR="007174BA" w:rsidRDefault="007174BA" w:rsidP="005A0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81673"/>
      <w:docPartObj>
        <w:docPartGallery w:val="Page Numbers (Top of Page)"/>
        <w:docPartUnique/>
      </w:docPartObj>
    </w:sdtPr>
    <w:sdtEndPr>
      <w:rPr>
        <w:noProof/>
      </w:rPr>
    </w:sdtEndPr>
    <w:sdtContent>
      <w:p w:rsidR="007174BA" w:rsidRDefault="005622F7">
        <w:pPr>
          <w:pStyle w:val="Header"/>
          <w:jc w:val="right"/>
        </w:pPr>
        <w:r>
          <w:t>Version date: 0</w:t>
        </w:r>
        <w:r w:rsidR="00A33266">
          <w:t>3</w:t>
        </w:r>
        <w:r>
          <w:t>/</w:t>
        </w:r>
        <w:r w:rsidR="00A33266">
          <w:t>19</w:t>
        </w:r>
        <w:r w:rsidR="007174BA">
          <w:t>/201</w:t>
        </w:r>
        <w:r w:rsidR="00A33266">
          <w:t>9</w:t>
        </w:r>
        <w:r w:rsidR="007174BA">
          <w:t xml:space="preserve">        </w:t>
        </w:r>
        <w:r w:rsidR="007174BA">
          <w:fldChar w:fldCharType="begin"/>
        </w:r>
        <w:r w:rsidR="007174BA">
          <w:instrText xml:space="preserve"> PAGE   \* MERGEFORMAT </w:instrText>
        </w:r>
        <w:r w:rsidR="007174BA">
          <w:fldChar w:fldCharType="separate"/>
        </w:r>
        <w:r w:rsidR="0024795C">
          <w:rPr>
            <w:noProof/>
          </w:rPr>
          <w:t>2</w:t>
        </w:r>
        <w:r w:rsidR="007174BA">
          <w:rPr>
            <w:noProof/>
          </w:rPr>
          <w:fldChar w:fldCharType="end"/>
        </w:r>
      </w:p>
    </w:sdtContent>
  </w:sdt>
  <w:p w:rsidR="007174BA" w:rsidRDefault="00717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B7"/>
    <w:rsid w:val="00001CF3"/>
    <w:rsid w:val="0000290C"/>
    <w:rsid w:val="000041E8"/>
    <w:rsid w:val="0000506B"/>
    <w:rsid w:val="00006A86"/>
    <w:rsid w:val="0001123D"/>
    <w:rsid w:val="0001294D"/>
    <w:rsid w:val="000146EA"/>
    <w:rsid w:val="00015031"/>
    <w:rsid w:val="00015289"/>
    <w:rsid w:val="00015669"/>
    <w:rsid w:val="00016B53"/>
    <w:rsid w:val="00016EAD"/>
    <w:rsid w:val="00021F9B"/>
    <w:rsid w:val="000306DA"/>
    <w:rsid w:val="000306E7"/>
    <w:rsid w:val="00030EC5"/>
    <w:rsid w:val="00031739"/>
    <w:rsid w:val="0003269D"/>
    <w:rsid w:val="0003310F"/>
    <w:rsid w:val="00033D89"/>
    <w:rsid w:val="00034F50"/>
    <w:rsid w:val="00042CD0"/>
    <w:rsid w:val="000442CD"/>
    <w:rsid w:val="00044F92"/>
    <w:rsid w:val="00046B0E"/>
    <w:rsid w:val="00046CC9"/>
    <w:rsid w:val="00047B41"/>
    <w:rsid w:val="0005010B"/>
    <w:rsid w:val="00050143"/>
    <w:rsid w:val="00051C21"/>
    <w:rsid w:val="00052DB5"/>
    <w:rsid w:val="00052F15"/>
    <w:rsid w:val="00055E63"/>
    <w:rsid w:val="000574CF"/>
    <w:rsid w:val="0006467F"/>
    <w:rsid w:val="00067E86"/>
    <w:rsid w:val="00067FA6"/>
    <w:rsid w:val="00071D46"/>
    <w:rsid w:val="00072527"/>
    <w:rsid w:val="000744E9"/>
    <w:rsid w:val="000762D0"/>
    <w:rsid w:val="00080E03"/>
    <w:rsid w:val="0008285B"/>
    <w:rsid w:val="0008630E"/>
    <w:rsid w:val="0008680F"/>
    <w:rsid w:val="00087168"/>
    <w:rsid w:val="00087520"/>
    <w:rsid w:val="000905CE"/>
    <w:rsid w:val="00092E85"/>
    <w:rsid w:val="00093E49"/>
    <w:rsid w:val="0009784D"/>
    <w:rsid w:val="000A0DF0"/>
    <w:rsid w:val="000A123F"/>
    <w:rsid w:val="000A15C9"/>
    <w:rsid w:val="000A30D9"/>
    <w:rsid w:val="000A4CE9"/>
    <w:rsid w:val="000B00AD"/>
    <w:rsid w:val="000B2AFA"/>
    <w:rsid w:val="000B39A2"/>
    <w:rsid w:val="000B44BF"/>
    <w:rsid w:val="000B463A"/>
    <w:rsid w:val="000B4DF8"/>
    <w:rsid w:val="000B4F0B"/>
    <w:rsid w:val="000B53C8"/>
    <w:rsid w:val="000B6B57"/>
    <w:rsid w:val="000B712B"/>
    <w:rsid w:val="000C14A7"/>
    <w:rsid w:val="000C5507"/>
    <w:rsid w:val="000C569D"/>
    <w:rsid w:val="000C6D34"/>
    <w:rsid w:val="000D00C2"/>
    <w:rsid w:val="000D50EC"/>
    <w:rsid w:val="000D5652"/>
    <w:rsid w:val="000D6323"/>
    <w:rsid w:val="000D6544"/>
    <w:rsid w:val="000D69EC"/>
    <w:rsid w:val="000D799F"/>
    <w:rsid w:val="000E065C"/>
    <w:rsid w:val="000E3F4B"/>
    <w:rsid w:val="000E4309"/>
    <w:rsid w:val="000E4E2D"/>
    <w:rsid w:val="000E79A9"/>
    <w:rsid w:val="000F0D77"/>
    <w:rsid w:val="000F2B14"/>
    <w:rsid w:val="000F453A"/>
    <w:rsid w:val="000F525F"/>
    <w:rsid w:val="000F6D72"/>
    <w:rsid w:val="001001B5"/>
    <w:rsid w:val="001004CC"/>
    <w:rsid w:val="00103A80"/>
    <w:rsid w:val="00107315"/>
    <w:rsid w:val="00110959"/>
    <w:rsid w:val="00112212"/>
    <w:rsid w:val="0011494E"/>
    <w:rsid w:val="00115F36"/>
    <w:rsid w:val="00116F9C"/>
    <w:rsid w:val="00120185"/>
    <w:rsid w:val="00122FA3"/>
    <w:rsid w:val="001262EC"/>
    <w:rsid w:val="001265A7"/>
    <w:rsid w:val="001266CE"/>
    <w:rsid w:val="0012730A"/>
    <w:rsid w:val="00130ECA"/>
    <w:rsid w:val="00131082"/>
    <w:rsid w:val="001317F3"/>
    <w:rsid w:val="00134FC7"/>
    <w:rsid w:val="00140562"/>
    <w:rsid w:val="00142FB8"/>
    <w:rsid w:val="00144DCD"/>
    <w:rsid w:val="00151F86"/>
    <w:rsid w:val="00152216"/>
    <w:rsid w:val="00162B35"/>
    <w:rsid w:val="00166A87"/>
    <w:rsid w:val="00167E85"/>
    <w:rsid w:val="0017145F"/>
    <w:rsid w:val="00172C03"/>
    <w:rsid w:val="0017347F"/>
    <w:rsid w:val="00174B08"/>
    <w:rsid w:val="00174B56"/>
    <w:rsid w:val="00175C3A"/>
    <w:rsid w:val="0017719B"/>
    <w:rsid w:val="0018046D"/>
    <w:rsid w:val="00180E44"/>
    <w:rsid w:val="0018214C"/>
    <w:rsid w:val="00182DB9"/>
    <w:rsid w:val="00183563"/>
    <w:rsid w:val="00184838"/>
    <w:rsid w:val="00184D47"/>
    <w:rsid w:val="0018520A"/>
    <w:rsid w:val="0018682B"/>
    <w:rsid w:val="00187910"/>
    <w:rsid w:val="00187BC2"/>
    <w:rsid w:val="00190053"/>
    <w:rsid w:val="001936A1"/>
    <w:rsid w:val="001A0D44"/>
    <w:rsid w:val="001A13A5"/>
    <w:rsid w:val="001A29A3"/>
    <w:rsid w:val="001A6652"/>
    <w:rsid w:val="001A7C61"/>
    <w:rsid w:val="001B1EB5"/>
    <w:rsid w:val="001C013E"/>
    <w:rsid w:val="001C0F5D"/>
    <w:rsid w:val="001C227F"/>
    <w:rsid w:val="001C4EBE"/>
    <w:rsid w:val="001C598C"/>
    <w:rsid w:val="001D2497"/>
    <w:rsid w:val="001D4013"/>
    <w:rsid w:val="001D685B"/>
    <w:rsid w:val="001D7F4A"/>
    <w:rsid w:val="001E1597"/>
    <w:rsid w:val="001E16D4"/>
    <w:rsid w:val="001E1CAB"/>
    <w:rsid w:val="001E2B8D"/>
    <w:rsid w:val="001E3770"/>
    <w:rsid w:val="001E60D8"/>
    <w:rsid w:val="001E664D"/>
    <w:rsid w:val="001E7CDA"/>
    <w:rsid w:val="001F0B7C"/>
    <w:rsid w:val="001F0E64"/>
    <w:rsid w:val="001F4E35"/>
    <w:rsid w:val="001F582F"/>
    <w:rsid w:val="001F711A"/>
    <w:rsid w:val="002012B8"/>
    <w:rsid w:val="00201973"/>
    <w:rsid w:val="00201C28"/>
    <w:rsid w:val="002040DC"/>
    <w:rsid w:val="00210D1B"/>
    <w:rsid w:val="00211901"/>
    <w:rsid w:val="002128DC"/>
    <w:rsid w:val="00217BE1"/>
    <w:rsid w:val="00222B9F"/>
    <w:rsid w:val="00226B42"/>
    <w:rsid w:val="002305E6"/>
    <w:rsid w:val="0023178D"/>
    <w:rsid w:val="002320BA"/>
    <w:rsid w:val="00236517"/>
    <w:rsid w:val="002365CD"/>
    <w:rsid w:val="00236A7C"/>
    <w:rsid w:val="002379D5"/>
    <w:rsid w:val="0024012E"/>
    <w:rsid w:val="00240BF7"/>
    <w:rsid w:val="00241EA4"/>
    <w:rsid w:val="0024223E"/>
    <w:rsid w:val="002442B5"/>
    <w:rsid w:val="0024795C"/>
    <w:rsid w:val="00252851"/>
    <w:rsid w:val="00254C92"/>
    <w:rsid w:val="00254D2E"/>
    <w:rsid w:val="00261F34"/>
    <w:rsid w:val="00262A9B"/>
    <w:rsid w:val="0026389A"/>
    <w:rsid w:val="0026498D"/>
    <w:rsid w:val="00264EDA"/>
    <w:rsid w:val="0026698B"/>
    <w:rsid w:val="00271516"/>
    <w:rsid w:val="00272025"/>
    <w:rsid w:val="00275DE2"/>
    <w:rsid w:val="002763F2"/>
    <w:rsid w:val="002767D9"/>
    <w:rsid w:val="002774FE"/>
    <w:rsid w:val="00280A06"/>
    <w:rsid w:val="00282521"/>
    <w:rsid w:val="0028256D"/>
    <w:rsid w:val="00282C0F"/>
    <w:rsid w:val="00283307"/>
    <w:rsid w:val="00284A28"/>
    <w:rsid w:val="002853A9"/>
    <w:rsid w:val="0028594D"/>
    <w:rsid w:val="002871B8"/>
    <w:rsid w:val="00290E98"/>
    <w:rsid w:val="00292059"/>
    <w:rsid w:val="002956FA"/>
    <w:rsid w:val="002958DD"/>
    <w:rsid w:val="0029633A"/>
    <w:rsid w:val="00297534"/>
    <w:rsid w:val="002A155F"/>
    <w:rsid w:val="002A1578"/>
    <w:rsid w:val="002A19F6"/>
    <w:rsid w:val="002A1F3C"/>
    <w:rsid w:val="002A2C58"/>
    <w:rsid w:val="002A4BD4"/>
    <w:rsid w:val="002A5264"/>
    <w:rsid w:val="002A65E3"/>
    <w:rsid w:val="002A77AA"/>
    <w:rsid w:val="002A798E"/>
    <w:rsid w:val="002A7D24"/>
    <w:rsid w:val="002B272F"/>
    <w:rsid w:val="002B4095"/>
    <w:rsid w:val="002B423B"/>
    <w:rsid w:val="002C0BA0"/>
    <w:rsid w:val="002C0C8D"/>
    <w:rsid w:val="002C2EC9"/>
    <w:rsid w:val="002C31ED"/>
    <w:rsid w:val="002C4E63"/>
    <w:rsid w:val="002C59D0"/>
    <w:rsid w:val="002C740D"/>
    <w:rsid w:val="002D1B2E"/>
    <w:rsid w:val="002D1B55"/>
    <w:rsid w:val="002D26B9"/>
    <w:rsid w:val="002D278E"/>
    <w:rsid w:val="002D2A3E"/>
    <w:rsid w:val="002D4184"/>
    <w:rsid w:val="002D48F4"/>
    <w:rsid w:val="002D4F4D"/>
    <w:rsid w:val="002D5A1B"/>
    <w:rsid w:val="002D5E88"/>
    <w:rsid w:val="002D721C"/>
    <w:rsid w:val="002E0C50"/>
    <w:rsid w:val="002E5264"/>
    <w:rsid w:val="002E7702"/>
    <w:rsid w:val="002F2328"/>
    <w:rsid w:val="002F25E2"/>
    <w:rsid w:val="002F3DB6"/>
    <w:rsid w:val="002F4015"/>
    <w:rsid w:val="002F40FC"/>
    <w:rsid w:val="002F416A"/>
    <w:rsid w:val="002F4318"/>
    <w:rsid w:val="002F6D29"/>
    <w:rsid w:val="002F7A44"/>
    <w:rsid w:val="00303CB9"/>
    <w:rsid w:val="00305A0E"/>
    <w:rsid w:val="00306CD3"/>
    <w:rsid w:val="00310FCA"/>
    <w:rsid w:val="00313607"/>
    <w:rsid w:val="00313CC9"/>
    <w:rsid w:val="00317E41"/>
    <w:rsid w:val="00324831"/>
    <w:rsid w:val="0032685A"/>
    <w:rsid w:val="00327583"/>
    <w:rsid w:val="00332D28"/>
    <w:rsid w:val="003339D3"/>
    <w:rsid w:val="0033431D"/>
    <w:rsid w:val="003359CA"/>
    <w:rsid w:val="00337530"/>
    <w:rsid w:val="0034281B"/>
    <w:rsid w:val="0034372F"/>
    <w:rsid w:val="0034410B"/>
    <w:rsid w:val="00346829"/>
    <w:rsid w:val="00346C1A"/>
    <w:rsid w:val="00347197"/>
    <w:rsid w:val="0034728D"/>
    <w:rsid w:val="00352723"/>
    <w:rsid w:val="00353574"/>
    <w:rsid w:val="003542D8"/>
    <w:rsid w:val="00354B14"/>
    <w:rsid w:val="003556F9"/>
    <w:rsid w:val="00355954"/>
    <w:rsid w:val="003603A2"/>
    <w:rsid w:val="00367EA0"/>
    <w:rsid w:val="00370D64"/>
    <w:rsid w:val="00371370"/>
    <w:rsid w:val="003726A4"/>
    <w:rsid w:val="00373F48"/>
    <w:rsid w:val="003804F1"/>
    <w:rsid w:val="00380BEE"/>
    <w:rsid w:val="003843ED"/>
    <w:rsid w:val="003856E5"/>
    <w:rsid w:val="003857ED"/>
    <w:rsid w:val="00386511"/>
    <w:rsid w:val="00390365"/>
    <w:rsid w:val="003918FB"/>
    <w:rsid w:val="003968A8"/>
    <w:rsid w:val="003A66E8"/>
    <w:rsid w:val="003A75AB"/>
    <w:rsid w:val="003B0C89"/>
    <w:rsid w:val="003B27D6"/>
    <w:rsid w:val="003B2BBD"/>
    <w:rsid w:val="003B339C"/>
    <w:rsid w:val="003B4E4C"/>
    <w:rsid w:val="003B52B4"/>
    <w:rsid w:val="003B6400"/>
    <w:rsid w:val="003B6401"/>
    <w:rsid w:val="003B72A2"/>
    <w:rsid w:val="003C26CD"/>
    <w:rsid w:val="003C4ABD"/>
    <w:rsid w:val="003D1E3C"/>
    <w:rsid w:val="003D7076"/>
    <w:rsid w:val="003D7DC9"/>
    <w:rsid w:val="003E0341"/>
    <w:rsid w:val="003E2862"/>
    <w:rsid w:val="003E34A6"/>
    <w:rsid w:val="003E3AB7"/>
    <w:rsid w:val="003E79EA"/>
    <w:rsid w:val="003F02D0"/>
    <w:rsid w:val="003F494E"/>
    <w:rsid w:val="003F6FD7"/>
    <w:rsid w:val="004009C6"/>
    <w:rsid w:val="0040119D"/>
    <w:rsid w:val="00401EEC"/>
    <w:rsid w:val="00401FD1"/>
    <w:rsid w:val="004031FD"/>
    <w:rsid w:val="00411AB6"/>
    <w:rsid w:val="00413142"/>
    <w:rsid w:val="00413F01"/>
    <w:rsid w:val="004146F5"/>
    <w:rsid w:val="004214D3"/>
    <w:rsid w:val="004235BC"/>
    <w:rsid w:val="004238B4"/>
    <w:rsid w:val="00424541"/>
    <w:rsid w:val="0042557B"/>
    <w:rsid w:val="00426E71"/>
    <w:rsid w:val="00427AE7"/>
    <w:rsid w:val="0043053F"/>
    <w:rsid w:val="00431717"/>
    <w:rsid w:val="00433AF2"/>
    <w:rsid w:val="00434252"/>
    <w:rsid w:val="00434FB9"/>
    <w:rsid w:val="00436627"/>
    <w:rsid w:val="00437872"/>
    <w:rsid w:val="00441A97"/>
    <w:rsid w:val="00441B8E"/>
    <w:rsid w:val="0044278F"/>
    <w:rsid w:val="0044293B"/>
    <w:rsid w:val="004430EB"/>
    <w:rsid w:val="00444E86"/>
    <w:rsid w:val="00444F93"/>
    <w:rsid w:val="0044504C"/>
    <w:rsid w:val="004463EA"/>
    <w:rsid w:val="004468E8"/>
    <w:rsid w:val="00450C00"/>
    <w:rsid w:val="00450CD9"/>
    <w:rsid w:val="00452146"/>
    <w:rsid w:val="0045255E"/>
    <w:rsid w:val="00452844"/>
    <w:rsid w:val="00453D35"/>
    <w:rsid w:val="0045515B"/>
    <w:rsid w:val="0045579E"/>
    <w:rsid w:val="0045626A"/>
    <w:rsid w:val="004575E8"/>
    <w:rsid w:val="00466C9E"/>
    <w:rsid w:val="004671D6"/>
    <w:rsid w:val="004707C6"/>
    <w:rsid w:val="00473BD7"/>
    <w:rsid w:val="004746E1"/>
    <w:rsid w:val="00474AD4"/>
    <w:rsid w:val="00476167"/>
    <w:rsid w:val="004767D1"/>
    <w:rsid w:val="00480989"/>
    <w:rsid w:val="00482F13"/>
    <w:rsid w:val="00483BF6"/>
    <w:rsid w:val="00483E2B"/>
    <w:rsid w:val="004848D0"/>
    <w:rsid w:val="004854BF"/>
    <w:rsid w:val="00485590"/>
    <w:rsid w:val="00486750"/>
    <w:rsid w:val="00495861"/>
    <w:rsid w:val="00495FCF"/>
    <w:rsid w:val="004963D2"/>
    <w:rsid w:val="0049668D"/>
    <w:rsid w:val="004966C9"/>
    <w:rsid w:val="00496996"/>
    <w:rsid w:val="004A0184"/>
    <w:rsid w:val="004A069F"/>
    <w:rsid w:val="004A09E3"/>
    <w:rsid w:val="004A2779"/>
    <w:rsid w:val="004A2B82"/>
    <w:rsid w:val="004A2EEB"/>
    <w:rsid w:val="004A30A1"/>
    <w:rsid w:val="004A327C"/>
    <w:rsid w:val="004A6895"/>
    <w:rsid w:val="004B0909"/>
    <w:rsid w:val="004B1B9A"/>
    <w:rsid w:val="004B7194"/>
    <w:rsid w:val="004B77DE"/>
    <w:rsid w:val="004B7ECA"/>
    <w:rsid w:val="004C1013"/>
    <w:rsid w:val="004C1B5B"/>
    <w:rsid w:val="004C1DB0"/>
    <w:rsid w:val="004D0AF5"/>
    <w:rsid w:val="004D645A"/>
    <w:rsid w:val="004E3415"/>
    <w:rsid w:val="004E4562"/>
    <w:rsid w:val="004E6250"/>
    <w:rsid w:val="004E62A2"/>
    <w:rsid w:val="004E651A"/>
    <w:rsid w:val="004F000D"/>
    <w:rsid w:val="004F02AB"/>
    <w:rsid w:val="004F04EA"/>
    <w:rsid w:val="004F0D97"/>
    <w:rsid w:val="004F1480"/>
    <w:rsid w:val="004F3B16"/>
    <w:rsid w:val="004F51D6"/>
    <w:rsid w:val="004F749D"/>
    <w:rsid w:val="004F7E30"/>
    <w:rsid w:val="00501CBF"/>
    <w:rsid w:val="005020CA"/>
    <w:rsid w:val="00502C09"/>
    <w:rsid w:val="00502FD8"/>
    <w:rsid w:val="0050672F"/>
    <w:rsid w:val="00512C5D"/>
    <w:rsid w:val="00512EBD"/>
    <w:rsid w:val="005161B3"/>
    <w:rsid w:val="00517871"/>
    <w:rsid w:val="00520332"/>
    <w:rsid w:val="00521B48"/>
    <w:rsid w:val="00522A1D"/>
    <w:rsid w:val="00525423"/>
    <w:rsid w:val="005265FF"/>
    <w:rsid w:val="00526B12"/>
    <w:rsid w:val="005270CB"/>
    <w:rsid w:val="00527A6F"/>
    <w:rsid w:val="00527D5A"/>
    <w:rsid w:val="005309ED"/>
    <w:rsid w:val="00532453"/>
    <w:rsid w:val="00532879"/>
    <w:rsid w:val="00533212"/>
    <w:rsid w:val="00536226"/>
    <w:rsid w:val="005414B6"/>
    <w:rsid w:val="0054444C"/>
    <w:rsid w:val="00544D23"/>
    <w:rsid w:val="00553264"/>
    <w:rsid w:val="005541CB"/>
    <w:rsid w:val="00555EF8"/>
    <w:rsid w:val="0055681A"/>
    <w:rsid w:val="00556FFD"/>
    <w:rsid w:val="00557370"/>
    <w:rsid w:val="005622F7"/>
    <w:rsid w:val="005644AF"/>
    <w:rsid w:val="00564525"/>
    <w:rsid w:val="00564C24"/>
    <w:rsid w:val="0056528B"/>
    <w:rsid w:val="00567C37"/>
    <w:rsid w:val="0057352B"/>
    <w:rsid w:val="00575D3B"/>
    <w:rsid w:val="0057617C"/>
    <w:rsid w:val="005766A0"/>
    <w:rsid w:val="00576A83"/>
    <w:rsid w:val="005818A0"/>
    <w:rsid w:val="005825C9"/>
    <w:rsid w:val="00582795"/>
    <w:rsid w:val="00584C6B"/>
    <w:rsid w:val="00586C83"/>
    <w:rsid w:val="00595219"/>
    <w:rsid w:val="00596816"/>
    <w:rsid w:val="005A0E0A"/>
    <w:rsid w:val="005A0E27"/>
    <w:rsid w:val="005A0E3F"/>
    <w:rsid w:val="005A1D8E"/>
    <w:rsid w:val="005A3A3F"/>
    <w:rsid w:val="005A3FA3"/>
    <w:rsid w:val="005A534F"/>
    <w:rsid w:val="005B1E2D"/>
    <w:rsid w:val="005B4A5B"/>
    <w:rsid w:val="005B4EAB"/>
    <w:rsid w:val="005C0085"/>
    <w:rsid w:val="005C08E5"/>
    <w:rsid w:val="005C0A4D"/>
    <w:rsid w:val="005C29E1"/>
    <w:rsid w:val="005C37EB"/>
    <w:rsid w:val="005C4620"/>
    <w:rsid w:val="005C54D6"/>
    <w:rsid w:val="005C5AE8"/>
    <w:rsid w:val="005D13B7"/>
    <w:rsid w:val="005D1E78"/>
    <w:rsid w:val="005D2E0A"/>
    <w:rsid w:val="005D31F0"/>
    <w:rsid w:val="005D391C"/>
    <w:rsid w:val="005D4C69"/>
    <w:rsid w:val="005D4F4F"/>
    <w:rsid w:val="005D62D6"/>
    <w:rsid w:val="005D635B"/>
    <w:rsid w:val="005D6BBF"/>
    <w:rsid w:val="005E20D8"/>
    <w:rsid w:val="005E24A6"/>
    <w:rsid w:val="005E28BB"/>
    <w:rsid w:val="005E35DB"/>
    <w:rsid w:val="005E57B2"/>
    <w:rsid w:val="005E6527"/>
    <w:rsid w:val="005F092D"/>
    <w:rsid w:val="005F0FAE"/>
    <w:rsid w:val="005F4BF4"/>
    <w:rsid w:val="005F5748"/>
    <w:rsid w:val="00600775"/>
    <w:rsid w:val="0060122F"/>
    <w:rsid w:val="00601FBC"/>
    <w:rsid w:val="006037A8"/>
    <w:rsid w:val="00604B5B"/>
    <w:rsid w:val="006073B1"/>
    <w:rsid w:val="00611504"/>
    <w:rsid w:val="0061485F"/>
    <w:rsid w:val="00614B61"/>
    <w:rsid w:val="006157AC"/>
    <w:rsid w:val="00616C69"/>
    <w:rsid w:val="00616FF4"/>
    <w:rsid w:val="0062286D"/>
    <w:rsid w:val="00623A85"/>
    <w:rsid w:val="006270FB"/>
    <w:rsid w:val="00627840"/>
    <w:rsid w:val="006313C8"/>
    <w:rsid w:val="006315F4"/>
    <w:rsid w:val="00631739"/>
    <w:rsid w:val="00634B9D"/>
    <w:rsid w:val="00635319"/>
    <w:rsid w:val="00635E47"/>
    <w:rsid w:val="00635F8C"/>
    <w:rsid w:val="00641C57"/>
    <w:rsid w:val="00642BCB"/>
    <w:rsid w:val="0064314D"/>
    <w:rsid w:val="00644E4E"/>
    <w:rsid w:val="00646A43"/>
    <w:rsid w:val="006470D3"/>
    <w:rsid w:val="00651EA2"/>
    <w:rsid w:val="00653A8C"/>
    <w:rsid w:val="006552B8"/>
    <w:rsid w:val="00655E56"/>
    <w:rsid w:val="00656FC3"/>
    <w:rsid w:val="00660816"/>
    <w:rsid w:val="00661422"/>
    <w:rsid w:val="006629D7"/>
    <w:rsid w:val="00662B5A"/>
    <w:rsid w:val="006639D5"/>
    <w:rsid w:val="00664D90"/>
    <w:rsid w:val="006652DD"/>
    <w:rsid w:val="006658F0"/>
    <w:rsid w:val="00666543"/>
    <w:rsid w:val="00670D39"/>
    <w:rsid w:val="00673380"/>
    <w:rsid w:val="006807FC"/>
    <w:rsid w:val="006838B0"/>
    <w:rsid w:val="00684F6A"/>
    <w:rsid w:val="00685C56"/>
    <w:rsid w:val="0068734E"/>
    <w:rsid w:val="00691C2A"/>
    <w:rsid w:val="00692A08"/>
    <w:rsid w:val="00692F50"/>
    <w:rsid w:val="006949C7"/>
    <w:rsid w:val="00694F2D"/>
    <w:rsid w:val="006952C2"/>
    <w:rsid w:val="00695715"/>
    <w:rsid w:val="00695AC3"/>
    <w:rsid w:val="00695C65"/>
    <w:rsid w:val="00697A5B"/>
    <w:rsid w:val="006A2C4C"/>
    <w:rsid w:val="006A3BB3"/>
    <w:rsid w:val="006A50FA"/>
    <w:rsid w:val="006A5134"/>
    <w:rsid w:val="006A55FF"/>
    <w:rsid w:val="006A60EE"/>
    <w:rsid w:val="006A756C"/>
    <w:rsid w:val="006B0EBF"/>
    <w:rsid w:val="006B25C0"/>
    <w:rsid w:val="006B2DBC"/>
    <w:rsid w:val="006B386E"/>
    <w:rsid w:val="006B45B4"/>
    <w:rsid w:val="006B4689"/>
    <w:rsid w:val="006B59B9"/>
    <w:rsid w:val="006B7757"/>
    <w:rsid w:val="006C07EC"/>
    <w:rsid w:val="006C1032"/>
    <w:rsid w:val="006C4069"/>
    <w:rsid w:val="006C55C8"/>
    <w:rsid w:val="006C56DA"/>
    <w:rsid w:val="006C5DEC"/>
    <w:rsid w:val="006C6A67"/>
    <w:rsid w:val="006C7A67"/>
    <w:rsid w:val="006D179D"/>
    <w:rsid w:val="006D1954"/>
    <w:rsid w:val="006D3D5D"/>
    <w:rsid w:val="006D48C3"/>
    <w:rsid w:val="006D4AFD"/>
    <w:rsid w:val="006D6C00"/>
    <w:rsid w:val="006D787B"/>
    <w:rsid w:val="006E0E53"/>
    <w:rsid w:val="006E1674"/>
    <w:rsid w:val="006E4BB7"/>
    <w:rsid w:val="006E585D"/>
    <w:rsid w:val="006E6C51"/>
    <w:rsid w:val="006E7D69"/>
    <w:rsid w:val="006F2673"/>
    <w:rsid w:val="006F28BA"/>
    <w:rsid w:val="006F4F3E"/>
    <w:rsid w:val="006F547B"/>
    <w:rsid w:val="007001EF"/>
    <w:rsid w:val="007019E0"/>
    <w:rsid w:val="007058E2"/>
    <w:rsid w:val="00705912"/>
    <w:rsid w:val="00706868"/>
    <w:rsid w:val="007074DA"/>
    <w:rsid w:val="0071442B"/>
    <w:rsid w:val="0071651F"/>
    <w:rsid w:val="007167FE"/>
    <w:rsid w:val="007174BA"/>
    <w:rsid w:val="00721834"/>
    <w:rsid w:val="00723A03"/>
    <w:rsid w:val="00723BE6"/>
    <w:rsid w:val="00724F38"/>
    <w:rsid w:val="007274A7"/>
    <w:rsid w:val="007279D6"/>
    <w:rsid w:val="00731C2D"/>
    <w:rsid w:val="00733847"/>
    <w:rsid w:val="007355FB"/>
    <w:rsid w:val="007371AB"/>
    <w:rsid w:val="00737BF4"/>
    <w:rsid w:val="00737DAC"/>
    <w:rsid w:val="007400F9"/>
    <w:rsid w:val="007407CF"/>
    <w:rsid w:val="007408F4"/>
    <w:rsid w:val="007449ED"/>
    <w:rsid w:val="007462E5"/>
    <w:rsid w:val="00746BBA"/>
    <w:rsid w:val="00750A69"/>
    <w:rsid w:val="00751E02"/>
    <w:rsid w:val="00752970"/>
    <w:rsid w:val="00754BB5"/>
    <w:rsid w:val="0075525D"/>
    <w:rsid w:val="00755B29"/>
    <w:rsid w:val="00755B41"/>
    <w:rsid w:val="0075741A"/>
    <w:rsid w:val="0075752D"/>
    <w:rsid w:val="00760F31"/>
    <w:rsid w:val="007614C4"/>
    <w:rsid w:val="00764127"/>
    <w:rsid w:val="007647AD"/>
    <w:rsid w:val="007647D1"/>
    <w:rsid w:val="007655A0"/>
    <w:rsid w:val="00765C85"/>
    <w:rsid w:val="007667FD"/>
    <w:rsid w:val="00767F0F"/>
    <w:rsid w:val="007710DC"/>
    <w:rsid w:val="0077141A"/>
    <w:rsid w:val="00771DEA"/>
    <w:rsid w:val="00772186"/>
    <w:rsid w:val="00773296"/>
    <w:rsid w:val="00775BAA"/>
    <w:rsid w:val="00775F74"/>
    <w:rsid w:val="00777B9A"/>
    <w:rsid w:val="00780736"/>
    <w:rsid w:val="00780A15"/>
    <w:rsid w:val="00782356"/>
    <w:rsid w:val="0078383B"/>
    <w:rsid w:val="00783ECE"/>
    <w:rsid w:val="00785AC9"/>
    <w:rsid w:val="007870BE"/>
    <w:rsid w:val="00790A3B"/>
    <w:rsid w:val="00790ABE"/>
    <w:rsid w:val="007914DD"/>
    <w:rsid w:val="007922D1"/>
    <w:rsid w:val="00793F6F"/>
    <w:rsid w:val="007948DF"/>
    <w:rsid w:val="00796D75"/>
    <w:rsid w:val="007A0A17"/>
    <w:rsid w:val="007A2D03"/>
    <w:rsid w:val="007A2D7E"/>
    <w:rsid w:val="007A3075"/>
    <w:rsid w:val="007A3E6A"/>
    <w:rsid w:val="007A6CC5"/>
    <w:rsid w:val="007A6E76"/>
    <w:rsid w:val="007B0F72"/>
    <w:rsid w:val="007B16D3"/>
    <w:rsid w:val="007B2C19"/>
    <w:rsid w:val="007B2D4C"/>
    <w:rsid w:val="007B5870"/>
    <w:rsid w:val="007C0EE3"/>
    <w:rsid w:val="007C203C"/>
    <w:rsid w:val="007C3BC1"/>
    <w:rsid w:val="007C590F"/>
    <w:rsid w:val="007D02C1"/>
    <w:rsid w:val="007D178E"/>
    <w:rsid w:val="007D326B"/>
    <w:rsid w:val="007D391E"/>
    <w:rsid w:val="007D43D0"/>
    <w:rsid w:val="007E0C75"/>
    <w:rsid w:val="007E0E94"/>
    <w:rsid w:val="007E1339"/>
    <w:rsid w:val="007E3BAE"/>
    <w:rsid w:val="007E43F2"/>
    <w:rsid w:val="007E6D21"/>
    <w:rsid w:val="007E77D5"/>
    <w:rsid w:val="007F2273"/>
    <w:rsid w:val="007F54A8"/>
    <w:rsid w:val="007F7C76"/>
    <w:rsid w:val="008003BE"/>
    <w:rsid w:val="008005A8"/>
    <w:rsid w:val="00800F91"/>
    <w:rsid w:val="008015CB"/>
    <w:rsid w:val="0080169D"/>
    <w:rsid w:val="00801C04"/>
    <w:rsid w:val="00801DC8"/>
    <w:rsid w:val="00803BC6"/>
    <w:rsid w:val="008058FC"/>
    <w:rsid w:val="0080638F"/>
    <w:rsid w:val="00810A48"/>
    <w:rsid w:val="0081381A"/>
    <w:rsid w:val="00813A65"/>
    <w:rsid w:val="00814381"/>
    <w:rsid w:val="00817C9C"/>
    <w:rsid w:val="00823715"/>
    <w:rsid w:val="00824910"/>
    <w:rsid w:val="00824FF7"/>
    <w:rsid w:val="008262F1"/>
    <w:rsid w:val="00827C79"/>
    <w:rsid w:val="00830CEA"/>
    <w:rsid w:val="00834858"/>
    <w:rsid w:val="00837236"/>
    <w:rsid w:val="008433AC"/>
    <w:rsid w:val="00843F16"/>
    <w:rsid w:val="00845D07"/>
    <w:rsid w:val="00846651"/>
    <w:rsid w:val="00846AE9"/>
    <w:rsid w:val="00847AF7"/>
    <w:rsid w:val="00850E22"/>
    <w:rsid w:val="0085182D"/>
    <w:rsid w:val="00851C2F"/>
    <w:rsid w:val="00852F80"/>
    <w:rsid w:val="00853112"/>
    <w:rsid w:val="00855CAA"/>
    <w:rsid w:val="0086024C"/>
    <w:rsid w:val="0086133C"/>
    <w:rsid w:val="0086211A"/>
    <w:rsid w:val="0086250F"/>
    <w:rsid w:val="00862616"/>
    <w:rsid w:val="008628EA"/>
    <w:rsid w:val="00863542"/>
    <w:rsid w:val="00872847"/>
    <w:rsid w:val="00874B36"/>
    <w:rsid w:val="00874CE7"/>
    <w:rsid w:val="0087509D"/>
    <w:rsid w:val="00875802"/>
    <w:rsid w:val="00877771"/>
    <w:rsid w:val="008815B0"/>
    <w:rsid w:val="00883510"/>
    <w:rsid w:val="00884F68"/>
    <w:rsid w:val="00884FB2"/>
    <w:rsid w:val="00885123"/>
    <w:rsid w:val="00885576"/>
    <w:rsid w:val="0088667A"/>
    <w:rsid w:val="00886DF5"/>
    <w:rsid w:val="00886FF1"/>
    <w:rsid w:val="00887264"/>
    <w:rsid w:val="00887C50"/>
    <w:rsid w:val="00891459"/>
    <w:rsid w:val="00891475"/>
    <w:rsid w:val="00891AE8"/>
    <w:rsid w:val="00891ED0"/>
    <w:rsid w:val="0089424F"/>
    <w:rsid w:val="00897077"/>
    <w:rsid w:val="0089750F"/>
    <w:rsid w:val="00897DE1"/>
    <w:rsid w:val="008A0B06"/>
    <w:rsid w:val="008A2D88"/>
    <w:rsid w:val="008A4619"/>
    <w:rsid w:val="008A7D3E"/>
    <w:rsid w:val="008B5022"/>
    <w:rsid w:val="008B73FC"/>
    <w:rsid w:val="008B790E"/>
    <w:rsid w:val="008C1F47"/>
    <w:rsid w:val="008C213A"/>
    <w:rsid w:val="008C296C"/>
    <w:rsid w:val="008C370A"/>
    <w:rsid w:val="008C371C"/>
    <w:rsid w:val="008C3834"/>
    <w:rsid w:val="008C47A3"/>
    <w:rsid w:val="008C4BD1"/>
    <w:rsid w:val="008C61A3"/>
    <w:rsid w:val="008C74FF"/>
    <w:rsid w:val="008C7F7D"/>
    <w:rsid w:val="008D206A"/>
    <w:rsid w:val="008D29CA"/>
    <w:rsid w:val="008D3F6C"/>
    <w:rsid w:val="008D4BB4"/>
    <w:rsid w:val="008D4BF4"/>
    <w:rsid w:val="008D6025"/>
    <w:rsid w:val="008D6AD9"/>
    <w:rsid w:val="008E05D4"/>
    <w:rsid w:val="008E1647"/>
    <w:rsid w:val="008E1730"/>
    <w:rsid w:val="008E1CA5"/>
    <w:rsid w:val="008E1E1E"/>
    <w:rsid w:val="008E1F07"/>
    <w:rsid w:val="008E22E1"/>
    <w:rsid w:val="008F1F60"/>
    <w:rsid w:val="008F5A96"/>
    <w:rsid w:val="00902805"/>
    <w:rsid w:val="0090560A"/>
    <w:rsid w:val="009056DE"/>
    <w:rsid w:val="00906C34"/>
    <w:rsid w:val="00910817"/>
    <w:rsid w:val="00911979"/>
    <w:rsid w:val="00912564"/>
    <w:rsid w:val="009151E0"/>
    <w:rsid w:val="00916980"/>
    <w:rsid w:val="009260B4"/>
    <w:rsid w:val="00926196"/>
    <w:rsid w:val="009271AA"/>
    <w:rsid w:val="009300B4"/>
    <w:rsid w:val="00931E94"/>
    <w:rsid w:val="009322B9"/>
    <w:rsid w:val="00932AA9"/>
    <w:rsid w:val="009342D9"/>
    <w:rsid w:val="0093573A"/>
    <w:rsid w:val="00936CEC"/>
    <w:rsid w:val="00936F81"/>
    <w:rsid w:val="00937B8A"/>
    <w:rsid w:val="00941630"/>
    <w:rsid w:val="009447CD"/>
    <w:rsid w:val="00944823"/>
    <w:rsid w:val="00947212"/>
    <w:rsid w:val="0095275F"/>
    <w:rsid w:val="00953512"/>
    <w:rsid w:val="00955543"/>
    <w:rsid w:val="00955D78"/>
    <w:rsid w:val="00962685"/>
    <w:rsid w:val="009634EC"/>
    <w:rsid w:val="00966CC4"/>
    <w:rsid w:val="00966F47"/>
    <w:rsid w:val="009670E1"/>
    <w:rsid w:val="009673B3"/>
    <w:rsid w:val="00967F4C"/>
    <w:rsid w:val="00970F3E"/>
    <w:rsid w:val="009713B5"/>
    <w:rsid w:val="00974E8F"/>
    <w:rsid w:val="00976E99"/>
    <w:rsid w:val="0097767A"/>
    <w:rsid w:val="009779B4"/>
    <w:rsid w:val="009817BA"/>
    <w:rsid w:val="00983EE2"/>
    <w:rsid w:val="00984F93"/>
    <w:rsid w:val="009855F3"/>
    <w:rsid w:val="00985F6E"/>
    <w:rsid w:val="0099017D"/>
    <w:rsid w:val="0099174B"/>
    <w:rsid w:val="00991D44"/>
    <w:rsid w:val="00993EDD"/>
    <w:rsid w:val="009953FD"/>
    <w:rsid w:val="0099590D"/>
    <w:rsid w:val="00995C83"/>
    <w:rsid w:val="009967C7"/>
    <w:rsid w:val="00997D68"/>
    <w:rsid w:val="009A058F"/>
    <w:rsid w:val="009A0CD7"/>
    <w:rsid w:val="009A3384"/>
    <w:rsid w:val="009A372E"/>
    <w:rsid w:val="009A4B5E"/>
    <w:rsid w:val="009A7C67"/>
    <w:rsid w:val="009B0574"/>
    <w:rsid w:val="009B0E92"/>
    <w:rsid w:val="009B22D8"/>
    <w:rsid w:val="009B2725"/>
    <w:rsid w:val="009B2820"/>
    <w:rsid w:val="009B2F8B"/>
    <w:rsid w:val="009B33DB"/>
    <w:rsid w:val="009B40F4"/>
    <w:rsid w:val="009B4AF7"/>
    <w:rsid w:val="009B4ED0"/>
    <w:rsid w:val="009B518E"/>
    <w:rsid w:val="009B5546"/>
    <w:rsid w:val="009B5B4F"/>
    <w:rsid w:val="009B5FD7"/>
    <w:rsid w:val="009B678D"/>
    <w:rsid w:val="009B72E1"/>
    <w:rsid w:val="009B77A4"/>
    <w:rsid w:val="009B7CC7"/>
    <w:rsid w:val="009C0D15"/>
    <w:rsid w:val="009C3979"/>
    <w:rsid w:val="009C68EC"/>
    <w:rsid w:val="009C74B3"/>
    <w:rsid w:val="009C7F40"/>
    <w:rsid w:val="009D3E29"/>
    <w:rsid w:val="009D5111"/>
    <w:rsid w:val="009E1E79"/>
    <w:rsid w:val="009E3728"/>
    <w:rsid w:val="009F208E"/>
    <w:rsid w:val="009F32A1"/>
    <w:rsid w:val="009F36A4"/>
    <w:rsid w:val="009F4516"/>
    <w:rsid w:val="009F5351"/>
    <w:rsid w:val="009F7896"/>
    <w:rsid w:val="00A0039A"/>
    <w:rsid w:val="00A009CF"/>
    <w:rsid w:val="00A02C52"/>
    <w:rsid w:val="00A02C5E"/>
    <w:rsid w:val="00A042E3"/>
    <w:rsid w:val="00A059B7"/>
    <w:rsid w:val="00A103B7"/>
    <w:rsid w:val="00A124AA"/>
    <w:rsid w:val="00A12BA7"/>
    <w:rsid w:val="00A13A4B"/>
    <w:rsid w:val="00A13EED"/>
    <w:rsid w:val="00A16D48"/>
    <w:rsid w:val="00A17750"/>
    <w:rsid w:val="00A209CC"/>
    <w:rsid w:val="00A22E2A"/>
    <w:rsid w:val="00A239C3"/>
    <w:rsid w:val="00A31F08"/>
    <w:rsid w:val="00A324C1"/>
    <w:rsid w:val="00A32914"/>
    <w:rsid w:val="00A33266"/>
    <w:rsid w:val="00A34124"/>
    <w:rsid w:val="00A34E59"/>
    <w:rsid w:val="00A36A8B"/>
    <w:rsid w:val="00A4143F"/>
    <w:rsid w:val="00A414A4"/>
    <w:rsid w:val="00A42387"/>
    <w:rsid w:val="00A426AD"/>
    <w:rsid w:val="00A43BE1"/>
    <w:rsid w:val="00A4545A"/>
    <w:rsid w:val="00A50543"/>
    <w:rsid w:val="00A50662"/>
    <w:rsid w:val="00A54E8D"/>
    <w:rsid w:val="00A54EAB"/>
    <w:rsid w:val="00A6072D"/>
    <w:rsid w:val="00A63C37"/>
    <w:rsid w:val="00A670D5"/>
    <w:rsid w:val="00A7020F"/>
    <w:rsid w:val="00A70497"/>
    <w:rsid w:val="00A71447"/>
    <w:rsid w:val="00A72002"/>
    <w:rsid w:val="00A742E6"/>
    <w:rsid w:val="00A77A3C"/>
    <w:rsid w:val="00A82722"/>
    <w:rsid w:val="00A82ABF"/>
    <w:rsid w:val="00A83301"/>
    <w:rsid w:val="00A83C71"/>
    <w:rsid w:val="00A84E8A"/>
    <w:rsid w:val="00A865E9"/>
    <w:rsid w:val="00A90E05"/>
    <w:rsid w:val="00A910AF"/>
    <w:rsid w:val="00A91F7D"/>
    <w:rsid w:val="00A93980"/>
    <w:rsid w:val="00A94B2A"/>
    <w:rsid w:val="00A95FB1"/>
    <w:rsid w:val="00A961F1"/>
    <w:rsid w:val="00A96F93"/>
    <w:rsid w:val="00A97773"/>
    <w:rsid w:val="00AA321D"/>
    <w:rsid w:val="00AA32D9"/>
    <w:rsid w:val="00AA55AF"/>
    <w:rsid w:val="00AA6559"/>
    <w:rsid w:val="00AA71D6"/>
    <w:rsid w:val="00AA72A3"/>
    <w:rsid w:val="00AA7BDF"/>
    <w:rsid w:val="00AB0016"/>
    <w:rsid w:val="00AB5BEF"/>
    <w:rsid w:val="00AC0F96"/>
    <w:rsid w:val="00AC2E2E"/>
    <w:rsid w:val="00AC5032"/>
    <w:rsid w:val="00AC5D7A"/>
    <w:rsid w:val="00AC6D1A"/>
    <w:rsid w:val="00AD009E"/>
    <w:rsid w:val="00AD4A7F"/>
    <w:rsid w:val="00AD6E5A"/>
    <w:rsid w:val="00AE2905"/>
    <w:rsid w:val="00AE3B80"/>
    <w:rsid w:val="00AE5EAF"/>
    <w:rsid w:val="00AE6B10"/>
    <w:rsid w:val="00AE6C24"/>
    <w:rsid w:val="00AF374F"/>
    <w:rsid w:val="00AF4D26"/>
    <w:rsid w:val="00AF5909"/>
    <w:rsid w:val="00AF6889"/>
    <w:rsid w:val="00AF7100"/>
    <w:rsid w:val="00AF7247"/>
    <w:rsid w:val="00B01EF6"/>
    <w:rsid w:val="00B03376"/>
    <w:rsid w:val="00B0399A"/>
    <w:rsid w:val="00B0521C"/>
    <w:rsid w:val="00B06512"/>
    <w:rsid w:val="00B07157"/>
    <w:rsid w:val="00B15785"/>
    <w:rsid w:val="00B1590F"/>
    <w:rsid w:val="00B15EBA"/>
    <w:rsid w:val="00B21859"/>
    <w:rsid w:val="00B2210B"/>
    <w:rsid w:val="00B2245E"/>
    <w:rsid w:val="00B24487"/>
    <w:rsid w:val="00B24E00"/>
    <w:rsid w:val="00B24EE4"/>
    <w:rsid w:val="00B26280"/>
    <w:rsid w:val="00B26C19"/>
    <w:rsid w:val="00B35AB1"/>
    <w:rsid w:val="00B362BC"/>
    <w:rsid w:val="00B37413"/>
    <w:rsid w:val="00B431FA"/>
    <w:rsid w:val="00B45283"/>
    <w:rsid w:val="00B45659"/>
    <w:rsid w:val="00B474F8"/>
    <w:rsid w:val="00B50EF7"/>
    <w:rsid w:val="00B5115B"/>
    <w:rsid w:val="00B525CA"/>
    <w:rsid w:val="00B548BC"/>
    <w:rsid w:val="00B6045A"/>
    <w:rsid w:val="00B629E0"/>
    <w:rsid w:val="00B6482F"/>
    <w:rsid w:val="00B648E7"/>
    <w:rsid w:val="00B66655"/>
    <w:rsid w:val="00B70F99"/>
    <w:rsid w:val="00B721C8"/>
    <w:rsid w:val="00B73995"/>
    <w:rsid w:val="00B74E7F"/>
    <w:rsid w:val="00B807AE"/>
    <w:rsid w:val="00B80D69"/>
    <w:rsid w:val="00B82222"/>
    <w:rsid w:val="00B842D7"/>
    <w:rsid w:val="00B8441C"/>
    <w:rsid w:val="00B84BA8"/>
    <w:rsid w:val="00B85E65"/>
    <w:rsid w:val="00B8630E"/>
    <w:rsid w:val="00B90627"/>
    <w:rsid w:val="00B9100F"/>
    <w:rsid w:val="00B9104C"/>
    <w:rsid w:val="00B91EE2"/>
    <w:rsid w:val="00B935F9"/>
    <w:rsid w:val="00B94DEF"/>
    <w:rsid w:val="00BA0236"/>
    <w:rsid w:val="00BA086E"/>
    <w:rsid w:val="00BA1350"/>
    <w:rsid w:val="00BA16C6"/>
    <w:rsid w:val="00BA1D83"/>
    <w:rsid w:val="00BA4CA2"/>
    <w:rsid w:val="00BA5E29"/>
    <w:rsid w:val="00BA6559"/>
    <w:rsid w:val="00BA705E"/>
    <w:rsid w:val="00BB31A7"/>
    <w:rsid w:val="00BB401B"/>
    <w:rsid w:val="00BB48CB"/>
    <w:rsid w:val="00BB5C07"/>
    <w:rsid w:val="00BC04A4"/>
    <w:rsid w:val="00BC4882"/>
    <w:rsid w:val="00BC5A87"/>
    <w:rsid w:val="00BC5C52"/>
    <w:rsid w:val="00BC657F"/>
    <w:rsid w:val="00BC76C4"/>
    <w:rsid w:val="00BD008F"/>
    <w:rsid w:val="00BD1070"/>
    <w:rsid w:val="00BD2AE8"/>
    <w:rsid w:val="00BD2B88"/>
    <w:rsid w:val="00BD4321"/>
    <w:rsid w:val="00BD50C2"/>
    <w:rsid w:val="00BD5F2D"/>
    <w:rsid w:val="00BD6376"/>
    <w:rsid w:val="00BE21E0"/>
    <w:rsid w:val="00BE2D73"/>
    <w:rsid w:val="00BE5086"/>
    <w:rsid w:val="00BE7727"/>
    <w:rsid w:val="00BF09A5"/>
    <w:rsid w:val="00BF206E"/>
    <w:rsid w:val="00BF3C8A"/>
    <w:rsid w:val="00BF4035"/>
    <w:rsid w:val="00BF46BB"/>
    <w:rsid w:val="00BF47EC"/>
    <w:rsid w:val="00BF4AAF"/>
    <w:rsid w:val="00BF752A"/>
    <w:rsid w:val="00C00549"/>
    <w:rsid w:val="00C01C60"/>
    <w:rsid w:val="00C01D37"/>
    <w:rsid w:val="00C04E2B"/>
    <w:rsid w:val="00C066B3"/>
    <w:rsid w:val="00C079F5"/>
    <w:rsid w:val="00C105A2"/>
    <w:rsid w:val="00C112FD"/>
    <w:rsid w:val="00C113D0"/>
    <w:rsid w:val="00C11FE7"/>
    <w:rsid w:val="00C120DD"/>
    <w:rsid w:val="00C1286E"/>
    <w:rsid w:val="00C14FB6"/>
    <w:rsid w:val="00C17027"/>
    <w:rsid w:val="00C17318"/>
    <w:rsid w:val="00C20462"/>
    <w:rsid w:val="00C21175"/>
    <w:rsid w:val="00C23300"/>
    <w:rsid w:val="00C245D6"/>
    <w:rsid w:val="00C24D8D"/>
    <w:rsid w:val="00C251CE"/>
    <w:rsid w:val="00C30EB0"/>
    <w:rsid w:val="00C31047"/>
    <w:rsid w:val="00C33748"/>
    <w:rsid w:val="00C40884"/>
    <w:rsid w:val="00C420BF"/>
    <w:rsid w:val="00C43E96"/>
    <w:rsid w:val="00C43EE3"/>
    <w:rsid w:val="00C44D07"/>
    <w:rsid w:val="00C45B19"/>
    <w:rsid w:val="00C45FE4"/>
    <w:rsid w:val="00C56F77"/>
    <w:rsid w:val="00C62702"/>
    <w:rsid w:val="00C62842"/>
    <w:rsid w:val="00C62E80"/>
    <w:rsid w:val="00C66F41"/>
    <w:rsid w:val="00C7334C"/>
    <w:rsid w:val="00C770AD"/>
    <w:rsid w:val="00C77DC5"/>
    <w:rsid w:val="00C80D90"/>
    <w:rsid w:val="00C81450"/>
    <w:rsid w:val="00C82F2D"/>
    <w:rsid w:val="00C83FB5"/>
    <w:rsid w:val="00C8476D"/>
    <w:rsid w:val="00C85BE1"/>
    <w:rsid w:val="00C865EE"/>
    <w:rsid w:val="00C86918"/>
    <w:rsid w:val="00C90479"/>
    <w:rsid w:val="00C9163A"/>
    <w:rsid w:val="00C9213F"/>
    <w:rsid w:val="00C924B3"/>
    <w:rsid w:val="00C94023"/>
    <w:rsid w:val="00C947EF"/>
    <w:rsid w:val="00C97A11"/>
    <w:rsid w:val="00C97CB4"/>
    <w:rsid w:val="00C97E95"/>
    <w:rsid w:val="00CA04E7"/>
    <w:rsid w:val="00CA3662"/>
    <w:rsid w:val="00CA4C27"/>
    <w:rsid w:val="00CA4F2B"/>
    <w:rsid w:val="00CA60F1"/>
    <w:rsid w:val="00CA64BC"/>
    <w:rsid w:val="00CA72DE"/>
    <w:rsid w:val="00CA7656"/>
    <w:rsid w:val="00CB1C12"/>
    <w:rsid w:val="00CB217C"/>
    <w:rsid w:val="00CB505B"/>
    <w:rsid w:val="00CB5320"/>
    <w:rsid w:val="00CB5D34"/>
    <w:rsid w:val="00CB7638"/>
    <w:rsid w:val="00CC35E0"/>
    <w:rsid w:val="00CC586A"/>
    <w:rsid w:val="00CC77B5"/>
    <w:rsid w:val="00CD22F7"/>
    <w:rsid w:val="00CD33BA"/>
    <w:rsid w:val="00CD49DF"/>
    <w:rsid w:val="00CD4B45"/>
    <w:rsid w:val="00CD5B56"/>
    <w:rsid w:val="00CD754D"/>
    <w:rsid w:val="00CD7E62"/>
    <w:rsid w:val="00CE290F"/>
    <w:rsid w:val="00CE5065"/>
    <w:rsid w:val="00CE5653"/>
    <w:rsid w:val="00CE5933"/>
    <w:rsid w:val="00CE5DA7"/>
    <w:rsid w:val="00CE6D25"/>
    <w:rsid w:val="00CF0776"/>
    <w:rsid w:val="00CF3E48"/>
    <w:rsid w:val="00CF4073"/>
    <w:rsid w:val="00CF467D"/>
    <w:rsid w:val="00CF6338"/>
    <w:rsid w:val="00CF68C7"/>
    <w:rsid w:val="00CF6BAE"/>
    <w:rsid w:val="00CF707E"/>
    <w:rsid w:val="00CF7447"/>
    <w:rsid w:val="00D04729"/>
    <w:rsid w:val="00D0577A"/>
    <w:rsid w:val="00D05FDB"/>
    <w:rsid w:val="00D06194"/>
    <w:rsid w:val="00D06359"/>
    <w:rsid w:val="00D06903"/>
    <w:rsid w:val="00D14C39"/>
    <w:rsid w:val="00D162B6"/>
    <w:rsid w:val="00D16359"/>
    <w:rsid w:val="00D17CE9"/>
    <w:rsid w:val="00D201A0"/>
    <w:rsid w:val="00D20C28"/>
    <w:rsid w:val="00D23D8B"/>
    <w:rsid w:val="00D2467F"/>
    <w:rsid w:val="00D24978"/>
    <w:rsid w:val="00D27396"/>
    <w:rsid w:val="00D3097F"/>
    <w:rsid w:val="00D30C85"/>
    <w:rsid w:val="00D3150B"/>
    <w:rsid w:val="00D3209A"/>
    <w:rsid w:val="00D3340B"/>
    <w:rsid w:val="00D368A8"/>
    <w:rsid w:val="00D408DB"/>
    <w:rsid w:val="00D41B96"/>
    <w:rsid w:val="00D42BE1"/>
    <w:rsid w:val="00D45E2E"/>
    <w:rsid w:val="00D4603F"/>
    <w:rsid w:val="00D46BDA"/>
    <w:rsid w:val="00D50C66"/>
    <w:rsid w:val="00D522A4"/>
    <w:rsid w:val="00D529C1"/>
    <w:rsid w:val="00D548D8"/>
    <w:rsid w:val="00D549C1"/>
    <w:rsid w:val="00D56D32"/>
    <w:rsid w:val="00D57170"/>
    <w:rsid w:val="00D57D35"/>
    <w:rsid w:val="00D61BB0"/>
    <w:rsid w:val="00D63ED1"/>
    <w:rsid w:val="00D650D3"/>
    <w:rsid w:val="00D6574C"/>
    <w:rsid w:val="00D6704F"/>
    <w:rsid w:val="00D67487"/>
    <w:rsid w:val="00D67954"/>
    <w:rsid w:val="00D67F51"/>
    <w:rsid w:val="00D74CBF"/>
    <w:rsid w:val="00D75B8A"/>
    <w:rsid w:val="00D75FA8"/>
    <w:rsid w:val="00D761CA"/>
    <w:rsid w:val="00D762EE"/>
    <w:rsid w:val="00D77025"/>
    <w:rsid w:val="00D77651"/>
    <w:rsid w:val="00D83DFD"/>
    <w:rsid w:val="00D8480F"/>
    <w:rsid w:val="00D84E7E"/>
    <w:rsid w:val="00D86590"/>
    <w:rsid w:val="00D86DD4"/>
    <w:rsid w:val="00D9465A"/>
    <w:rsid w:val="00D94673"/>
    <w:rsid w:val="00D9665C"/>
    <w:rsid w:val="00D96721"/>
    <w:rsid w:val="00D96A96"/>
    <w:rsid w:val="00D97B83"/>
    <w:rsid w:val="00DA2FF4"/>
    <w:rsid w:val="00DA56C5"/>
    <w:rsid w:val="00DB0815"/>
    <w:rsid w:val="00DB0CC1"/>
    <w:rsid w:val="00DB10A6"/>
    <w:rsid w:val="00DB2237"/>
    <w:rsid w:val="00DB413B"/>
    <w:rsid w:val="00DB4A5D"/>
    <w:rsid w:val="00DB69F8"/>
    <w:rsid w:val="00DC0505"/>
    <w:rsid w:val="00DC0862"/>
    <w:rsid w:val="00DC119D"/>
    <w:rsid w:val="00DC1DB4"/>
    <w:rsid w:val="00DC64F2"/>
    <w:rsid w:val="00DC667D"/>
    <w:rsid w:val="00DC6AE0"/>
    <w:rsid w:val="00DD0ED0"/>
    <w:rsid w:val="00DD1D90"/>
    <w:rsid w:val="00DD3AF7"/>
    <w:rsid w:val="00DD5FA8"/>
    <w:rsid w:val="00DE0B05"/>
    <w:rsid w:val="00DE3AED"/>
    <w:rsid w:val="00DF3EFE"/>
    <w:rsid w:val="00DF675E"/>
    <w:rsid w:val="00DF6B07"/>
    <w:rsid w:val="00DF711A"/>
    <w:rsid w:val="00E009EF"/>
    <w:rsid w:val="00E0268F"/>
    <w:rsid w:val="00E03498"/>
    <w:rsid w:val="00E07B5C"/>
    <w:rsid w:val="00E11818"/>
    <w:rsid w:val="00E14501"/>
    <w:rsid w:val="00E14F22"/>
    <w:rsid w:val="00E15D6A"/>
    <w:rsid w:val="00E16574"/>
    <w:rsid w:val="00E21EE5"/>
    <w:rsid w:val="00E2354B"/>
    <w:rsid w:val="00E2490D"/>
    <w:rsid w:val="00E253D5"/>
    <w:rsid w:val="00E309C1"/>
    <w:rsid w:val="00E31220"/>
    <w:rsid w:val="00E3576E"/>
    <w:rsid w:val="00E40423"/>
    <w:rsid w:val="00E40686"/>
    <w:rsid w:val="00E41192"/>
    <w:rsid w:val="00E42F33"/>
    <w:rsid w:val="00E4742E"/>
    <w:rsid w:val="00E47FC2"/>
    <w:rsid w:val="00E52E18"/>
    <w:rsid w:val="00E53FD4"/>
    <w:rsid w:val="00E56D19"/>
    <w:rsid w:val="00E5799E"/>
    <w:rsid w:val="00E57B96"/>
    <w:rsid w:val="00E61AE3"/>
    <w:rsid w:val="00E62DFF"/>
    <w:rsid w:val="00E66E00"/>
    <w:rsid w:val="00E73332"/>
    <w:rsid w:val="00E75E36"/>
    <w:rsid w:val="00E829D5"/>
    <w:rsid w:val="00E83E01"/>
    <w:rsid w:val="00E84550"/>
    <w:rsid w:val="00E8501D"/>
    <w:rsid w:val="00E854D8"/>
    <w:rsid w:val="00E90C4B"/>
    <w:rsid w:val="00E92965"/>
    <w:rsid w:val="00E93823"/>
    <w:rsid w:val="00E93D86"/>
    <w:rsid w:val="00E95D04"/>
    <w:rsid w:val="00E97FF9"/>
    <w:rsid w:val="00EA3204"/>
    <w:rsid w:val="00EA5778"/>
    <w:rsid w:val="00EA6C2B"/>
    <w:rsid w:val="00EA71CB"/>
    <w:rsid w:val="00EB0584"/>
    <w:rsid w:val="00EB26B7"/>
    <w:rsid w:val="00EB2BCE"/>
    <w:rsid w:val="00EB2C1F"/>
    <w:rsid w:val="00EB2E3F"/>
    <w:rsid w:val="00EB3D30"/>
    <w:rsid w:val="00EB47CB"/>
    <w:rsid w:val="00EB5F10"/>
    <w:rsid w:val="00EB65F8"/>
    <w:rsid w:val="00EC09B3"/>
    <w:rsid w:val="00EC11DB"/>
    <w:rsid w:val="00EC2274"/>
    <w:rsid w:val="00EC324B"/>
    <w:rsid w:val="00EC36C9"/>
    <w:rsid w:val="00EC3DE9"/>
    <w:rsid w:val="00EC64A6"/>
    <w:rsid w:val="00ED07BA"/>
    <w:rsid w:val="00ED08F1"/>
    <w:rsid w:val="00ED16AF"/>
    <w:rsid w:val="00ED4880"/>
    <w:rsid w:val="00ED4B4B"/>
    <w:rsid w:val="00ED5AA2"/>
    <w:rsid w:val="00ED648C"/>
    <w:rsid w:val="00ED69CA"/>
    <w:rsid w:val="00ED6B5D"/>
    <w:rsid w:val="00ED7322"/>
    <w:rsid w:val="00ED73BD"/>
    <w:rsid w:val="00ED7DD8"/>
    <w:rsid w:val="00EE1AFE"/>
    <w:rsid w:val="00EE2234"/>
    <w:rsid w:val="00EE422C"/>
    <w:rsid w:val="00EE499F"/>
    <w:rsid w:val="00EE63F0"/>
    <w:rsid w:val="00EF1695"/>
    <w:rsid w:val="00EF19C1"/>
    <w:rsid w:val="00EF693E"/>
    <w:rsid w:val="00EF6A0E"/>
    <w:rsid w:val="00EF798D"/>
    <w:rsid w:val="00F008CD"/>
    <w:rsid w:val="00F0165D"/>
    <w:rsid w:val="00F0287E"/>
    <w:rsid w:val="00F04849"/>
    <w:rsid w:val="00F04EDF"/>
    <w:rsid w:val="00F10928"/>
    <w:rsid w:val="00F1116F"/>
    <w:rsid w:val="00F11379"/>
    <w:rsid w:val="00F12639"/>
    <w:rsid w:val="00F14135"/>
    <w:rsid w:val="00F1434B"/>
    <w:rsid w:val="00F14ED0"/>
    <w:rsid w:val="00F15BDC"/>
    <w:rsid w:val="00F15C9C"/>
    <w:rsid w:val="00F17DDB"/>
    <w:rsid w:val="00F21599"/>
    <w:rsid w:val="00F21BBF"/>
    <w:rsid w:val="00F22861"/>
    <w:rsid w:val="00F22C51"/>
    <w:rsid w:val="00F23F45"/>
    <w:rsid w:val="00F25284"/>
    <w:rsid w:val="00F31207"/>
    <w:rsid w:val="00F32362"/>
    <w:rsid w:val="00F323BC"/>
    <w:rsid w:val="00F33638"/>
    <w:rsid w:val="00F33741"/>
    <w:rsid w:val="00F36137"/>
    <w:rsid w:val="00F375CF"/>
    <w:rsid w:val="00F4075F"/>
    <w:rsid w:val="00F42831"/>
    <w:rsid w:val="00F43E37"/>
    <w:rsid w:val="00F45174"/>
    <w:rsid w:val="00F45B90"/>
    <w:rsid w:val="00F4650E"/>
    <w:rsid w:val="00F52A05"/>
    <w:rsid w:val="00F53C60"/>
    <w:rsid w:val="00F54A04"/>
    <w:rsid w:val="00F54E45"/>
    <w:rsid w:val="00F55279"/>
    <w:rsid w:val="00F56097"/>
    <w:rsid w:val="00F56DB7"/>
    <w:rsid w:val="00F57C94"/>
    <w:rsid w:val="00F603B2"/>
    <w:rsid w:val="00F60500"/>
    <w:rsid w:val="00F61447"/>
    <w:rsid w:val="00F63D30"/>
    <w:rsid w:val="00F6748A"/>
    <w:rsid w:val="00F70143"/>
    <w:rsid w:val="00F70C54"/>
    <w:rsid w:val="00F70E9F"/>
    <w:rsid w:val="00F73733"/>
    <w:rsid w:val="00F7603F"/>
    <w:rsid w:val="00F76825"/>
    <w:rsid w:val="00F779CA"/>
    <w:rsid w:val="00F77E18"/>
    <w:rsid w:val="00F77E28"/>
    <w:rsid w:val="00F828A2"/>
    <w:rsid w:val="00F83EDF"/>
    <w:rsid w:val="00F84E25"/>
    <w:rsid w:val="00F86B54"/>
    <w:rsid w:val="00F87A6B"/>
    <w:rsid w:val="00F909A0"/>
    <w:rsid w:val="00F94C36"/>
    <w:rsid w:val="00F94CB0"/>
    <w:rsid w:val="00F953E5"/>
    <w:rsid w:val="00F956CE"/>
    <w:rsid w:val="00F974A1"/>
    <w:rsid w:val="00FA0CAC"/>
    <w:rsid w:val="00FA0D95"/>
    <w:rsid w:val="00FA218D"/>
    <w:rsid w:val="00FA7C6D"/>
    <w:rsid w:val="00FA7DFF"/>
    <w:rsid w:val="00FB170F"/>
    <w:rsid w:val="00FB2CE5"/>
    <w:rsid w:val="00FB393B"/>
    <w:rsid w:val="00FB48D8"/>
    <w:rsid w:val="00FB5930"/>
    <w:rsid w:val="00FB617F"/>
    <w:rsid w:val="00FC0244"/>
    <w:rsid w:val="00FC036A"/>
    <w:rsid w:val="00FC1B5C"/>
    <w:rsid w:val="00FC759B"/>
    <w:rsid w:val="00FD029B"/>
    <w:rsid w:val="00FD07CB"/>
    <w:rsid w:val="00FD1F34"/>
    <w:rsid w:val="00FD2830"/>
    <w:rsid w:val="00FD489D"/>
    <w:rsid w:val="00FD57C8"/>
    <w:rsid w:val="00FE0053"/>
    <w:rsid w:val="00FE0157"/>
    <w:rsid w:val="00FE2B42"/>
    <w:rsid w:val="00FE53C7"/>
    <w:rsid w:val="00FE588E"/>
    <w:rsid w:val="00FF097B"/>
    <w:rsid w:val="00FF4FB0"/>
    <w:rsid w:val="00FF72CA"/>
    <w:rsid w:val="00FF759D"/>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12CCAC9-B414-40FA-A3AC-FD16F009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E27"/>
  </w:style>
  <w:style w:type="paragraph" w:styleId="Footer">
    <w:name w:val="footer"/>
    <w:basedOn w:val="Normal"/>
    <w:link w:val="FooterChar"/>
    <w:uiPriority w:val="99"/>
    <w:unhideWhenUsed/>
    <w:rsid w:val="005A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E27"/>
  </w:style>
  <w:style w:type="paragraph" w:styleId="BalloonText">
    <w:name w:val="Balloon Text"/>
    <w:basedOn w:val="Normal"/>
    <w:link w:val="BalloonTextChar"/>
    <w:uiPriority w:val="99"/>
    <w:semiHidden/>
    <w:unhideWhenUsed/>
    <w:rsid w:val="0001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031"/>
    <w:rPr>
      <w:rFonts w:ascii="Segoe UI" w:hAnsi="Segoe UI" w:cs="Segoe UI"/>
      <w:sz w:val="18"/>
      <w:szCs w:val="18"/>
    </w:rPr>
  </w:style>
  <w:style w:type="paragraph" w:styleId="FootnoteText">
    <w:name w:val="footnote text"/>
    <w:basedOn w:val="Normal"/>
    <w:link w:val="FootnoteTextChar"/>
    <w:uiPriority w:val="99"/>
    <w:semiHidden/>
    <w:unhideWhenUsed/>
    <w:rsid w:val="005952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219"/>
    <w:rPr>
      <w:sz w:val="20"/>
      <w:szCs w:val="20"/>
    </w:rPr>
  </w:style>
  <w:style w:type="character" w:styleId="FootnoteReference">
    <w:name w:val="footnote reference"/>
    <w:basedOn w:val="DefaultParagraphFont"/>
    <w:uiPriority w:val="99"/>
    <w:semiHidden/>
    <w:unhideWhenUsed/>
    <w:rsid w:val="00595219"/>
    <w:rPr>
      <w:vertAlign w:val="superscript"/>
    </w:rPr>
  </w:style>
  <w:style w:type="character" w:styleId="Hyperlink">
    <w:name w:val="Hyperlink"/>
    <w:basedOn w:val="DefaultParagraphFont"/>
    <w:uiPriority w:val="99"/>
    <w:unhideWhenUsed/>
    <w:rsid w:val="006C55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923913">
      <w:bodyDiv w:val="1"/>
      <w:marLeft w:val="0"/>
      <w:marRight w:val="0"/>
      <w:marTop w:val="0"/>
      <w:marBottom w:val="0"/>
      <w:divBdr>
        <w:top w:val="none" w:sz="0" w:space="0" w:color="auto"/>
        <w:left w:val="none" w:sz="0" w:space="0" w:color="auto"/>
        <w:bottom w:val="none" w:sz="0" w:space="0" w:color="auto"/>
        <w:right w:val="none" w:sz="0" w:space="0" w:color="auto"/>
      </w:divBdr>
      <w:divsChild>
        <w:div w:id="1790664194">
          <w:marLeft w:val="0"/>
          <w:marRight w:val="0"/>
          <w:marTop w:val="0"/>
          <w:marBottom w:val="0"/>
          <w:divBdr>
            <w:top w:val="none" w:sz="0" w:space="0" w:color="auto"/>
            <w:left w:val="none" w:sz="0" w:space="0" w:color="auto"/>
            <w:bottom w:val="none" w:sz="0" w:space="0" w:color="auto"/>
            <w:right w:val="none" w:sz="0" w:space="0" w:color="auto"/>
          </w:divBdr>
        </w:div>
      </w:divsChild>
    </w:div>
    <w:div w:id="1009914428">
      <w:bodyDiv w:val="1"/>
      <w:marLeft w:val="0"/>
      <w:marRight w:val="0"/>
      <w:marTop w:val="0"/>
      <w:marBottom w:val="0"/>
      <w:divBdr>
        <w:top w:val="none" w:sz="0" w:space="0" w:color="auto"/>
        <w:left w:val="none" w:sz="0" w:space="0" w:color="auto"/>
        <w:bottom w:val="none" w:sz="0" w:space="0" w:color="auto"/>
        <w:right w:val="none" w:sz="0" w:space="0" w:color="auto"/>
      </w:divBdr>
      <w:divsChild>
        <w:div w:id="585308557">
          <w:marLeft w:val="0"/>
          <w:marRight w:val="0"/>
          <w:marTop w:val="0"/>
          <w:marBottom w:val="0"/>
          <w:divBdr>
            <w:top w:val="none" w:sz="0" w:space="0" w:color="auto"/>
            <w:left w:val="none" w:sz="0" w:space="0" w:color="auto"/>
            <w:bottom w:val="none" w:sz="0" w:space="0" w:color="auto"/>
            <w:right w:val="none" w:sz="0" w:space="0" w:color="auto"/>
          </w:divBdr>
        </w:div>
      </w:divsChild>
    </w:div>
    <w:div w:id="1096173461">
      <w:bodyDiv w:val="1"/>
      <w:marLeft w:val="0"/>
      <w:marRight w:val="0"/>
      <w:marTop w:val="0"/>
      <w:marBottom w:val="0"/>
      <w:divBdr>
        <w:top w:val="none" w:sz="0" w:space="0" w:color="auto"/>
        <w:left w:val="none" w:sz="0" w:space="0" w:color="auto"/>
        <w:bottom w:val="none" w:sz="0" w:space="0" w:color="auto"/>
        <w:right w:val="none" w:sz="0" w:space="0" w:color="auto"/>
      </w:divBdr>
      <w:divsChild>
        <w:div w:id="170989985">
          <w:marLeft w:val="0"/>
          <w:marRight w:val="0"/>
          <w:marTop w:val="0"/>
          <w:marBottom w:val="0"/>
          <w:divBdr>
            <w:top w:val="none" w:sz="0" w:space="0" w:color="auto"/>
            <w:left w:val="none" w:sz="0" w:space="0" w:color="auto"/>
            <w:bottom w:val="none" w:sz="0" w:space="0" w:color="auto"/>
            <w:right w:val="none" w:sz="0" w:space="0" w:color="auto"/>
          </w:divBdr>
        </w:div>
      </w:divsChild>
    </w:div>
    <w:div w:id="1119493821">
      <w:bodyDiv w:val="1"/>
      <w:marLeft w:val="0"/>
      <w:marRight w:val="0"/>
      <w:marTop w:val="0"/>
      <w:marBottom w:val="0"/>
      <w:divBdr>
        <w:top w:val="none" w:sz="0" w:space="0" w:color="auto"/>
        <w:left w:val="none" w:sz="0" w:space="0" w:color="auto"/>
        <w:bottom w:val="none" w:sz="0" w:space="0" w:color="auto"/>
        <w:right w:val="none" w:sz="0" w:space="0" w:color="auto"/>
      </w:divBdr>
      <w:divsChild>
        <w:div w:id="1570266884">
          <w:marLeft w:val="0"/>
          <w:marRight w:val="0"/>
          <w:marTop w:val="0"/>
          <w:marBottom w:val="0"/>
          <w:divBdr>
            <w:top w:val="none" w:sz="0" w:space="0" w:color="auto"/>
            <w:left w:val="none" w:sz="0" w:space="0" w:color="auto"/>
            <w:bottom w:val="none" w:sz="0" w:space="0" w:color="auto"/>
            <w:right w:val="none" w:sz="0" w:space="0" w:color="auto"/>
          </w:divBdr>
        </w:div>
      </w:divsChild>
    </w:div>
    <w:div w:id="1347826170">
      <w:bodyDiv w:val="1"/>
      <w:marLeft w:val="0"/>
      <w:marRight w:val="0"/>
      <w:marTop w:val="0"/>
      <w:marBottom w:val="0"/>
      <w:divBdr>
        <w:top w:val="none" w:sz="0" w:space="0" w:color="auto"/>
        <w:left w:val="none" w:sz="0" w:space="0" w:color="auto"/>
        <w:bottom w:val="none" w:sz="0" w:space="0" w:color="auto"/>
        <w:right w:val="none" w:sz="0" w:space="0" w:color="auto"/>
      </w:divBdr>
    </w:div>
    <w:div w:id="1703087401">
      <w:bodyDiv w:val="1"/>
      <w:marLeft w:val="0"/>
      <w:marRight w:val="0"/>
      <w:marTop w:val="0"/>
      <w:marBottom w:val="0"/>
      <w:divBdr>
        <w:top w:val="none" w:sz="0" w:space="0" w:color="auto"/>
        <w:left w:val="none" w:sz="0" w:space="0" w:color="auto"/>
        <w:bottom w:val="none" w:sz="0" w:space="0" w:color="auto"/>
        <w:right w:val="none" w:sz="0" w:space="0" w:color="auto"/>
      </w:divBdr>
      <w:divsChild>
        <w:div w:id="1463957537">
          <w:marLeft w:val="0"/>
          <w:marRight w:val="0"/>
          <w:marTop w:val="0"/>
          <w:marBottom w:val="0"/>
          <w:divBdr>
            <w:top w:val="none" w:sz="0" w:space="0" w:color="auto"/>
            <w:left w:val="none" w:sz="0" w:space="0" w:color="auto"/>
            <w:bottom w:val="none" w:sz="0" w:space="0" w:color="auto"/>
            <w:right w:val="none" w:sz="0" w:space="0" w:color="auto"/>
          </w:divBdr>
        </w:div>
      </w:divsChild>
    </w:div>
    <w:div w:id="1833839116">
      <w:bodyDiv w:val="1"/>
      <w:marLeft w:val="0"/>
      <w:marRight w:val="0"/>
      <w:marTop w:val="0"/>
      <w:marBottom w:val="0"/>
      <w:divBdr>
        <w:top w:val="none" w:sz="0" w:space="0" w:color="auto"/>
        <w:left w:val="none" w:sz="0" w:space="0" w:color="auto"/>
        <w:bottom w:val="none" w:sz="0" w:space="0" w:color="auto"/>
        <w:right w:val="none" w:sz="0" w:space="0" w:color="auto"/>
      </w:divBdr>
      <w:divsChild>
        <w:div w:id="19932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BD93-A4C5-4DFD-8BFB-854794B2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Jake Follmer</dc:creator>
  <cp:keywords/>
  <dc:description/>
  <cp:lastModifiedBy>D. Jake Follmer</cp:lastModifiedBy>
  <cp:revision>62</cp:revision>
  <cp:lastPrinted>2018-04-11T18:45:00Z</cp:lastPrinted>
  <dcterms:created xsi:type="dcterms:W3CDTF">2019-03-19T12:03:00Z</dcterms:created>
  <dcterms:modified xsi:type="dcterms:W3CDTF">2019-03-19T15:00:00Z</dcterms:modified>
</cp:coreProperties>
</file>